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Información complementaria solicitada para SOMOS LATAM</w:t>
      </w:r>
    </w:p>
    <w:p>
      <w:pPr>
        <w:spacing w:after="280"/>
      </w:pPr>
      <w:r>
        <w:rPr>
          <w:b/>
        </w:rPr>
        <w:t>Documento de trabajo para Merck</w:t>
      </w:r>
      <w:r>
        <w:br/>
        <w:t>Preguntas 1 a 4  Activación, cruce de audiencias, demostración y analítica</w:t>
      </w:r>
      <w:r>
        <w:br/>
        <w:t>Preparado por EngageBox  |  2 de octubre de 2026</w:t>
      </w:r>
    </w:p>
    <w:p>
      <w:r>
        <w:rPr>
          <w:b/>
        </w:rPr>
        <w:t xml:space="preserve">Propósito. </w:t>
      </w:r>
      <w:r>
        <w:t>Facilitar a Merck una referencia presupuestaria transparente para dimensionar la inversión adicional requerida para identificar, priorizar y activar a los HCPs no visitados una vez realizado el cruce de audiencias. El documento compara alternativas, explicita supuestos y señala variables pendientes, de modo que Merck pueda definir el alcance anual y seleccionar el mix de proveedores, canales y estrategias más adecuado a sus prioridades y recursos. Los costos externos se mantendrán separados de la propuesta base de EngageBox; cualquier contratación coordinada por EngageBox requerirá aprobación previa de Merck y se trasladará sin margen adicional.</w:t>
      </w:r>
    </w:p>
    <w:p>
      <w:pPr>
        <w:pStyle w:val="Heading1"/>
      </w:pPr>
      <w:r>
        <w:t>1  Proveedores y costos de activación de HCPs</w:t>
      </w:r>
    </w:p>
    <w:p>
      <w:pPr>
        <w:pStyle w:val="Heading2"/>
      </w:pPr>
      <w:r>
        <w:t>Pregunta de Merck</w:t>
      </w:r>
    </w:p>
    <w:p>
      <w:r>
        <w:rPr>
          <w:i/>
        </w:rPr>
        <w:t>¿Cuál sería el costo adicional de activar a los médicos no visitados, según el proveedor, el volumen final y la modalidad de contacto?</w:t>
      </w:r>
    </w:p>
    <w:p>
      <w:pPr>
        <w:pStyle w:val="Heading2"/>
      </w:pPr>
      <w:r>
        <w:t>Respuesta de EngageBox</w:t>
      </w:r>
    </w:p>
    <w:p>
      <w:r>
        <w:t>EngageBox solicitó referencias comerciales a proveedores especializados para ofrecer visibilidad sobre los costos externos de activación. PLM y Fine Research / Fine Panel presentaron modelos distintos: PLM cotiza principalmente por envío o impacto, mientras Fine combina un fee de configuración, una tarifa por cada 1,000 HCPs únicos contactables y un mínimo contractual. IQVIA confirmó que puede plantear una solución modular, que incluye el cruce mediante OneKey, segmentación, social listening y activación por canales; sin embargo, su cotización económica aún no ha sido recibida. Por ello, estas capacidades se mantienen visibles como alternativas por evaluar, pero no se incorporan a los rangos presupuestarios.</w:t>
      </w:r>
    </w:p>
    <w:p>
      <w:r>
        <w:t>El volumen final solo podrá establecerse después de cruzar la audiencia del proveedor con la lista de médicos ya visitados por Merck. Por esta razón, los siguientes valores funcionan como escenarios presupuestarios y no como una cotización final del universo elegible.</w:t>
      </w:r>
    </w:p>
    <w:p>
      <w:pPr>
        <w:pStyle w:val="Heading2"/>
      </w:pPr>
      <w:r>
        <w:t>Universo informado</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223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Proveedor</w:t>
            </w:r>
          </w:p>
        </w:tc>
        <w:tc>
          <w:tcPr>
            <w:tcW w:type="dxa" w:w="230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Universo antes del cruce</w:t>
            </w:r>
          </w:p>
        </w:tc>
        <w:tc>
          <w:tcPr>
            <w:tcW w:type="dxa" w:w="576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Cobertura y condición</w:t>
            </w:r>
          </w:p>
        </w:tc>
      </w:tr>
      <w:tr>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PLM</w:t>
            </w:r>
          </w:p>
        </w:tc>
        <w:tc>
          <w:tcPr>
            <w:tcW w:type="dxa" w:w="230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Aprox. 450,000 HCPs</w:t>
            </w:r>
          </w:p>
        </w:tc>
        <w:tc>
          <w:tcPr>
            <w:tcW w:type="dxa" w:w="57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Cifra comunicada verbalmente para las audiencias solicitadas. Pendiente de confirmación escrita y desglose por país, especialidad y canal autorizado.</w:t>
            </w:r>
          </w:p>
        </w:tc>
      </w:tr>
      <w:tr>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Fine Research / Fine Panel</w:t>
            </w:r>
          </w:p>
        </w:tc>
        <w:tc>
          <w:tcPr>
            <w:tcW w:type="dxa" w:w="230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20,118 HCPs con email</w:t>
            </w:r>
          </w:p>
        </w:tc>
        <w:tc>
          <w:tcPr>
            <w:tcW w:type="dxa" w:w="57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Desglose escrito por país y especialidad para los 12 países solicitados.</w:t>
            </w:r>
          </w:p>
        </w:tc>
      </w:tr>
      <w:tr>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Fine Research / Fine Panel</w:t>
            </w:r>
          </w:p>
        </w:tc>
        <w:tc>
          <w:tcPr>
            <w:tcW w:type="dxa" w:w="230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2,034 HCPs con opt-in para WhatsApp</w:t>
            </w:r>
          </w:p>
        </w:tc>
        <w:tc>
          <w:tcPr>
            <w:tcW w:type="dxa" w:w="57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Cobertura documentada en 9 de los 12 países.</w:t>
            </w:r>
          </w:p>
        </w:tc>
      </w:tr>
      <w:tr>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IQVIA</w:t>
            </w:r>
          </w:p>
        </w:tc>
        <w:tc>
          <w:tcPr>
            <w:tcW w:type="dxa" w:w="230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Pendiente de cruce y cotización</w:t>
            </w:r>
          </w:p>
        </w:tc>
        <w:tc>
          <w:tcPr>
            <w:tcW w:type="dxa" w:w="57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Confirmó capacidad para recibir la base de Merck y determinar el universo no cubierto mediante OneKey. IQVIA cobra un fee por este cruce; monto, alcance, países y condiciones sujetos a propuesta escrita.</w:t>
            </w:r>
          </w:p>
        </w:tc>
      </w:tr>
    </w:tbl>
    <w:p>
      <w:pPr>
        <w:spacing w:after="20"/>
      </w:pPr>
    </w:p>
    <w:p>
      <w:pPr>
        <w:pStyle w:val="SmallNote"/>
      </w:pPr>
      <w:r>
        <w:rPr>
          <w:b/>
        </w:rPr>
        <w:t xml:space="preserve">Nota. </w:t>
      </w:r>
      <w:r>
        <w:t>Los universos no son directamente equivalentes hasta que PLM confirme el desglose y las autorizaciones de contacto. Fine agrupa Medicina General, Medicina Familiar y Clínico en una sola categoría y no identifica Medicina Reproductiva como especialidad separada.</w:t>
      </w:r>
    </w:p>
    <w:p>
      <w:pPr>
        <w:pStyle w:val="Heading2"/>
      </w:pPr>
      <w:r>
        <w:t>Tarifas y modalidades</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266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Concepto</w:t>
            </w:r>
          </w:p>
        </w:tc>
        <w:tc>
          <w:tcPr>
            <w:tcW w:type="dxa" w:w="367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PLM</w:t>
            </w:r>
          </w:p>
        </w:tc>
        <w:tc>
          <w:tcPr>
            <w:tcW w:type="dxa" w:w="396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Fine Research / Fine Panel</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Email por HCP y por impacto</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USD 0.30</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USD 0.10</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Email inicial y 2 recordatorios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USD 0.90 por HCP</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USD 0.30 por HCP, más fee inicial y sujeto al mínimo</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Fee inicial</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No indicado</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USD 2,000</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Mínimo de contratación</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No indicado</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USD 5,000</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WhatsApp</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USD 0.30 por mensaje</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USD 2.00 por HCP. Modalidad exacta pendiente de confirmación</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Mensaje de texto (SMS)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USD 0.30 por mensaje</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No disponible</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Push notification</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USD 0.30 por notificación</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No disponible</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Banner en aplicación o web</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USD 3,000 mensuales por país; 30,000 impresiones garantizadas</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No disponible</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Cruce con médicos visitados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Capacidad y costo pendientes de confirmación</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Incluido en el fee inicial</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Registro y opt-in en SOMOS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Flujo pendiente de confirmación</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Contemplado mediante landing externa</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Contenido considerado</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Educativo y científico</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Educativo y científico; sin promoción de producto</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Métricas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Envíos, aperturas, tasa de clics sobre emails abiertos (CTOR), clics, especialidad y país</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Envíos, entregas, rebotes, clics únicos, registros, consentimientos y solicitudes de baja</w:t>
            </w:r>
          </w:p>
        </w:tc>
      </w:tr>
      <w:tr>
        <w:tc>
          <w:tcPr>
            <w:tcW w:type="dxa" w:w="266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Impuestos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Impuesto al Valor Agregado (IVA) no incluido</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Impuestos y retenciones no incluidos</w:t>
            </w:r>
          </w:p>
        </w:tc>
      </w:tr>
    </w:tbl>
    <w:p>
      <w:pPr>
        <w:spacing w:after="20"/>
      </w:pPr>
    </w:p>
    <w:p>
      <w:pPr>
        <w:pStyle w:val="Heading2"/>
      </w:pPr>
      <w:r>
        <w:t>Escalas de precio para email</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194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Proveedor</w:t>
            </w:r>
          </w:p>
        </w:tc>
        <w:tc>
          <w:tcPr>
            <w:tcW w:type="dxa" w:w="496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Volumen aplicable</w:t>
            </w:r>
          </w:p>
        </w:tc>
        <w:tc>
          <w:tcPr>
            <w:tcW w:type="dxa" w:w="338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Tarifa por impacto</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PLM</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Menos de 100,000 envíos anuales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7"/>
              </w:rPr>
              <w:t>USD 0.30 por email</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PLM</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Desde 100,000 envíos anuales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7"/>
              </w:rPr>
              <w:t>USD 0.25 por email</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PLM</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Desde 200,000 envíos anuales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7"/>
              </w:rPr>
              <w:t>USD 0.20 por email</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PLM</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Desde 500,000 envíos anuales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7"/>
              </w:rPr>
              <w:t>USD 0.18 por email</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Fine</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7"/>
              </w:rPr>
              <w:t>Hasta 10,000 HCPs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7"/>
              </w:rPr>
              <w:t>USD 0.10 por HCP</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Fine</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7"/>
              </w:rPr>
              <w:t>10,001 a 20,000 HCPs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7"/>
              </w:rPr>
              <w:t>USD 0.09 por HCP</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Fine</w:t>
            </w:r>
          </w:p>
        </w:tc>
        <w:tc>
          <w:tcPr>
            <w:tcW w:type="dxa" w:w="49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7"/>
              </w:rPr>
              <w:t>Más de 20,000 HCPs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7"/>
              </w:rPr>
              <w:t>USD 0.085 por HCP</w:t>
            </w:r>
          </w:p>
        </w:tc>
      </w:tr>
    </w:tbl>
    <w:p>
      <w:pPr>
        <w:spacing w:after="20"/>
      </w:pPr>
    </w:p>
    <w:p>
      <w:pPr>
        <w:pStyle w:val="SmallNote"/>
      </w:pPr>
      <w:r>
        <w:rPr>
          <w:b/>
        </w:rPr>
        <w:t xml:space="preserve">Precaución de cálculo para PLM. </w:t>
      </w:r>
      <w:r>
        <w:t>Los umbrales de PLM se expresan en envíos anuales, no en HCPs únicos. Los recordatorios también generan envíos. PLM debe confirmar por escrito si la tarifa reducida aplica a todo el volumen al alcanzar cada umbral o solo al volumen incremental, y si el umbral se calcula por campaña o sobre la contratación anual acumulada. Por ello, los escenarios muestran rangos prudentes cuando la interpretación tarifaria puede cambiar el resultado.</w:t>
      </w:r>
    </w:p>
    <w:p>
      <w:pPr>
        <w:pStyle w:val="Heading2"/>
      </w:pPr>
      <w:r>
        <w:t>Modelo presupuestario y supuestos</w:t>
      </w:r>
    </w:p>
    <w:p>
      <w:r>
        <w:t>Para estimar el costo adicional con utilidad para Merck, EngageBox separa el precio base de su propuesta, USD 184,350, del presupuesto externo de activación. Los siguientes escenarios sirven para dimensionar órdenes de magnitud; no constituyen cotizaciones finales ni deben sumarse automáticamente al precio de EngageBox. Cada cálculo deberá refinarse después del cruce de audiencias, la selección de países y canales, y la confirmación comercial de los proveedores.</w:t>
      </w:r>
    </w:p>
    <w:p>
      <w:pPr>
        <w:pStyle w:val="ListBullet"/>
        <w:spacing w:after="60"/>
        <w:ind w:left="317" w:hanging="230"/>
      </w:pPr>
      <w:r>
        <w:t>La secuencia de email contempla un envío inicial al 100% de la cohorte, un primer recordatorio a un máximo de 80% y un segundo recordatorio a un máximo de 40%. Esto equivale, para presupuestación, a un promedio de 2.2 envíos por HCP único; los registrados, duplicados, excluidos y dados de baja se suprimen de los impactos posteriores.</w:t>
      </w:r>
    </w:p>
    <w:p>
      <w:pPr>
        <w:pStyle w:val="ListBullet"/>
        <w:spacing w:after="60"/>
        <w:ind w:left="317" w:hanging="230"/>
      </w:pPr>
      <w:r>
        <w:t>La comparación base utiliza email porque es el único canal cotizado por ambos proveedores bajo una mecánica razonablemente comparable.</w:t>
      </w:r>
    </w:p>
    <w:p>
      <w:pPr>
        <w:pStyle w:val="ListBullet"/>
        <w:spacing w:after="60"/>
        <w:ind w:left="317" w:hanging="230"/>
      </w:pPr>
      <w:r>
        <w:t>La presión de contacto se ajustará según respuesta y consentimiento. El promedio de 2.2 envíos no es una promesa de frecuencia ni obliga a impactar a cada médico tres veces.</w:t>
      </w:r>
    </w:p>
    <w:p>
      <w:pPr>
        <w:pStyle w:val="ListBullet"/>
        <w:spacing w:after="60"/>
        <w:ind w:left="317" w:hanging="230"/>
      </w:pPr>
      <w:r>
        <w:t>Los valores no incluyen impuestos, canales opcionales ni costos que continúan pendientes de confirmación.</w:t>
      </w:r>
    </w:p>
    <w:p>
      <w:pPr>
        <w:pStyle w:val="ListBullet"/>
        <w:spacing w:after="60"/>
        <w:ind w:left="317" w:hanging="230"/>
      </w:pPr>
      <w:r>
        <w:t>Los universos finales y el proveedor aplicable solo podrán definirse después del cruce con los médicos visitados por Merck y de validar cobertura, autorizaciones de contacto y datos utilizables.</w:t>
      </w:r>
    </w:p>
    <w:p>
      <w:pPr>
        <w:pStyle w:val="Heading2"/>
      </w:pPr>
      <w:r>
        <w:t>Estimación preliminar del universo activable</w:t>
      </w:r>
    </w:p>
    <w:p>
      <w:r>
        <w:t>Como ejercicio de planeación, se estimó un universo objetivo de 395,000 a 485,000 médicos en las audiencias solicitadas de los 12 países. Se aplicó el supuesto actualizado de que Merck visita aproximadamente 25% de médicos generales, familiares e internistas y 70% de especialistas. El resultado direccional es de 276,000 a 335,000 médicos potencialmente no visitados. Esta cifra no equivale al universo activable: todavía deben aplicarse filtros de ejercicio profesional, correspondencia con el alcance, cobertura del proveedor, datos válidos, autorización por canal y deduplicación.</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324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Grupo de audiencia</w:t>
            </w:r>
          </w:p>
        </w:tc>
        <w:tc>
          <w:tcPr>
            <w:tcW w:type="dxa" w:w="223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Universo estimado</w:t>
            </w:r>
          </w:p>
        </w:tc>
        <w:tc>
          <w:tcPr>
            <w:tcW w:type="dxa" w:w="223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Cobertura Merck asumida</w:t>
            </w:r>
          </w:p>
        </w:tc>
        <w:tc>
          <w:tcPr>
            <w:tcW w:type="dxa" w:w="259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Potencialmente no visitados</w:t>
            </w:r>
          </w:p>
        </w:tc>
      </w:tr>
      <w:tr>
        <w:tc>
          <w:tcPr>
            <w:tcW w:type="dxa" w:w="32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Médicos generales, familiares e internistas</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350,000 a 420,000</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25%</w:t>
            </w:r>
          </w:p>
        </w:tc>
        <w:tc>
          <w:tcPr>
            <w:tcW w:type="dxa" w:w="259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262,500 a 315,000</w:t>
            </w:r>
          </w:p>
        </w:tc>
      </w:tr>
      <w:tr>
        <w:tc>
          <w:tcPr>
            <w:tcW w:type="dxa" w:w="32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Especialistas solicitados</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45,000 a 65,000</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70%</w:t>
            </w:r>
          </w:p>
        </w:tc>
        <w:tc>
          <w:tcPr>
            <w:tcW w:type="dxa" w:w="259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13,500 a 19,500</w:t>
            </w:r>
          </w:p>
        </w:tc>
      </w:tr>
      <w:tr>
        <w:tc>
          <w:tcPr>
            <w:tcW w:type="dxa" w:w="32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Total direccional</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395,000 a 485,000</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No aplica</w:t>
            </w:r>
          </w:p>
        </w:tc>
        <w:tc>
          <w:tcPr>
            <w:tcW w:type="dxa" w:w="259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276,000 a 335,000</w:t>
            </w:r>
          </w:p>
        </w:tc>
      </w:tr>
    </w:tbl>
    <w:p>
      <w:pPr>
        <w:spacing w:after="20"/>
      </w:pP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194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Escenario de elegibilidad</w:t>
            </w:r>
          </w:p>
        </w:tc>
        <w:tc>
          <w:tcPr>
            <w:tcW w:type="dxa" w:w="252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Retención ilustrativa</w:t>
            </w:r>
          </w:p>
        </w:tc>
        <w:tc>
          <w:tcPr>
            <w:tcW w:type="dxa" w:w="252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HCPs activables estimados</w:t>
            </w:r>
          </w:p>
        </w:tc>
        <w:tc>
          <w:tcPr>
            <w:tcW w:type="dxa" w:w="388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Interpretación</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Conservador</w:t>
            </w:r>
          </w:p>
        </w:tc>
        <w:tc>
          <w:tcPr>
            <w:tcW w:type="dxa" w:w="25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25% del universo no visitado</w:t>
            </w:r>
          </w:p>
        </w:tc>
        <w:tc>
          <w:tcPr>
            <w:tcW w:type="dxa" w:w="25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69,000 a 84,000</w:t>
            </w:r>
          </w:p>
        </w:tc>
        <w:tc>
          <w:tcPr>
            <w:tcW w:type="dxa" w:w="38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Cobertura y permisos limitados o alta depuración.</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Intermedio</w:t>
            </w:r>
          </w:p>
        </w:tc>
        <w:tc>
          <w:tcPr>
            <w:tcW w:type="dxa" w:w="25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40% del universo no visitado</w:t>
            </w:r>
          </w:p>
        </w:tc>
        <w:tc>
          <w:tcPr>
            <w:tcW w:type="dxa" w:w="25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6"/>
              </w:rPr>
              <w:t>110,000 a 134,000</w:t>
            </w:r>
          </w:p>
        </w:tc>
        <w:tc>
          <w:tcPr>
            <w:tcW w:type="dxa" w:w="38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Hipótesis de planeación para cobertura multifuente razonable.</w:t>
            </w:r>
          </w:p>
        </w:tc>
      </w:tr>
      <w:tr>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Amplio</w:t>
            </w:r>
          </w:p>
        </w:tc>
        <w:tc>
          <w:tcPr>
            <w:tcW w:type="dxa" w:w="25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55% del universo no visitado</w:t>
            </w:r>
          </w:p>
        </w:tc>
        <w:tc>
          <w:tcPr>
            <w:tcW w:type="dxa" w:w="25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6"/>
              </w:rPr>
              <w:t>152,000 a 184,000</w:t>
            </w:r>
          </w:p>
        </w:tc>
        <w:tc>
          <w:tcPr>
            <w:tcW w:type="dxa" w:w="38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Mayor complementariedad entre proveedores y calidad de datos.</w:t>
            </w:r>
          </w:p>
        </w:tc>
      </w:tr>
    </w:tbl>
    <w:p>
      <w:pPr>
        <w:spacing w:after="20"/>
      </w:pPr>
    </w:p>
    <w:p>
      <w:pPr>
        <w:pStyle w:val="SmallNote"/>
      </w:pPr>
      <w:r>
        <w:rPr>
          <w:b/>
        </w:rPr>
        <w:t xml:space="preserve">Naturaleza del cálculo. </w:t>
      </w:r>
      <w:r>
        <w:t>Los porcentajes de retención son supuestos de planeación, no benchmarks externos. El cálculo deberá sustituirse por el cruce real. Como referencia de escala, Fine informó 20,118 HCPs con email y PLM manifestó verbalmente alrededor de 450,000 HCPs para las audiencias solicitadas, cifras que no son equivalentes ni confirman por sí solas elegibilidad.</w:t>
      </w:r>
    </w:p>
    <w:p>
      <w:pPr>
        <w:pStyle w:val="SmallNote"/>
      </w:pPr>
      <w:r>
        <w:rPr>
          <w:b/>
        </w:rPr>
        <w:t xml:space="preserve">Fuentes de contexto. </w:t>
      </w:r>
      <w:r>
        <w:t>Densidad y composición médica: World Bank, indicador Physicians per 1,000 people; WHO Global Health Workforce Statistics; PAHO, The Health Workforce in the Americas; y estimaciones de composición de especialistas basadas en datos WHO citados por el Banco Interamericano de Desarrollo. Los años, definiciones y cobertura difieren por país; por ello se utiliza un rango y no una cifra censal.</w:t>
      </w:r>
    </w:p>
    <w:p>
      <w:pPr>
        <w:pStyle w:val="Heading2"/>
      </w:pPr>
      <w:r>
        <w:t>Escenarios anuales de activación</w:t>
      </w:r>
    </w:p>
    <w:p>
      <w:r>
        <w:t>El universo activable no tiene que impactarse de una sola vez. Se propone trabajar con cohortes acumulativas y una frecuencia adaptativa promedio de 2.2 emails por HCP único. Los registrados salen de la activación pagada y pasan al journey de SOMOS. Los costos siguientes utilizan las tarifas comunicadas por PLM y una presencia regional de banners calculada por país; no incluyen los servicios de IQVIA.</w:t>
      </w:r>
    </w:p>
    <w:p>
      <w:r>
        <w:t>El universo potencialmente activable no constituye una recomendación de contactar a todos los médicos identificados. Merck deberá definir el alcance anual de acuerdo con sus prioridades terapéuticas, mercados, segmentos de mayor relevancia y recursos disponibles. Los escenarios siguientes dimensionan las implicaciones presupuestarias de tres niveles posibles de cobertura, sin establecer un mínimo obligatorio ni un objetivo fijo de volumen.</w:t>
      </w:r>
    </w:p>
    <w:tbl>
      <w:tblPr>
        <w:tblW w:type="auto" w:w="0"/>
        <w:jc w:val="center"/>
        <w:tblLayout w:type="fixed"/>
        <w:tblLook w:firstColumn="1" w:firstRow="1" w:lastColumn="0" w:lastRow="0" w:noHBand="0" w:noVBand="1" w:val="04A0"/>
      </w:tblPr>
      <w:tblGrid>
        <w:gridCol w:w="1714"/>
        <w:gridCol w:w="1714"/>
        <w:gridCol w:w="1714"/>
        <w:gridCol w:w="1714"/>
        <w:gridCol w:w="1714"/>
        <w:gridCol w:w="1714"/>
      </w:tblGrid>
      <w:tr>
        <w:trPr>
          <w:tblHeader w:val="true"/>
        </w:trPr>
        <w:tc>
          <w:tcPr>
            <w:tcW w:type="dxa" w:w="180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Escenario anual</w:t>
            </w:r>
          </w:p>
        </w:tc>
        <w:tc>
          <w:tcPr>
            <w:tcW w:type="dxa" w:w="158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HCPs únicos</w:t>
            </w:r>
          </w:p>
        </w:tc>
        <w:tc>
          <w:tcPr>
            <w:tcW w:type="dxa" w:w="201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Email</w:t>
            </w:r>
          </w:p>
        </w:tc>
        <w:tc>
          <w:tcPr>
            <w:tcW w:type="dxa" w:w="194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Directo selectivo</w:t>
            </w:r>
          </w:p>
        </w:tc>
        <w:tc>
          <w:tcPr>
            <w:tcW w:type="dxa" w:w="194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Banners</w:t>
            </w:r>
          </w:p>
        </w:tc>
        <w:tc>
          <w:tcPr>
            <w:tcW w:type="dxa" w:w="208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Rango presupuestario</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Prudente</w:t>
            </w:r>
          </w:p>
        </w:tc>
        <w:tc>
          <w:tcPr>
            <w:tcW w:type="dxa" w:w="15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50,000 a 60,000</w:t>
            </w:r>
          </w:p>
        </w:tc>
        <w:tc>
          <w:tcPr>
            <w:tcW w:type="dxa" w:w="20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27,500 a USD 39,600</w:t>
            </w:r>
          </w:p>
        </w:tc>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3,000 a USD 3,600</w:t>
            </w:r>
          </w:p>
        </w:tc>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18,000</w:t>
            </w:r>
          </w:p>
        </w:tc>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60,000 a USD 70,000</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Intermedio</w:t>
            </w:r>
          </w:p>
        </w:tc>
        <w:tc>
          <w:tcPr>
            <w:tcW w:type="dxa" w:w="15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4"/>
              </w:rPr>
              <w:t>100,000 a 125,000</w:t>
            </w:r>
          </w:p>
        </w:tc>
        <w:tc>
          <w:tcPr>
            <w:tcW w:type="dxa" w:w="20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4"/>
              </w:rPr>
              <w:t>USD 44,000 a USD 68,750</w:t>
            </w:r>
          </w:p>
        </w:tc>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4"/>
              </w:rPr>
              <w:t>USD 12,000 a USD 22,500</w:t>
            </w:r>
          </w:p>
        </w:tc>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4"/>
              </w:rPr>
              <w:t>USD 97,200 a USD 108,000</w:t>
            </w:r>
          </w:p>
        </w:tc>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4"/>
              </w:rPr>
              <w:t>USD 180,000 a USD 230,000</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Escalamiento amplio</w:t>
            </w:r>
          </w:p>
        </w:tc>
        <w:tc>
          <w:tcPr>
            <w:tcW w:type="dxa" w:w="15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150,000 a 180,000</w:t>
            </w:r>
          </w:p>
        </w:tc>
        <w:tc>
          <w:tcPr>
            <w:tcW w:type="dxa" w:w="20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66,000 a USD 99,000</w:t>
            </w:r>
          </w:p>
        </w:tc>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18,000 a USD 32,400</w:t>
            </w:r>
          </w:p>
        </w:tc>
        <w:tc>
          <w:tcPr>
            <w:tcW w:type="dxa" w:w="19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183,600 a USD 216,000</w:t>
            </w:r>
          </w:p>
        </w:tc>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USD 310,000 a USD 400,000</w:t>
            </w:r>
          </w:p>
        </w:tc>
      </w:tr>
    </w:tbl>
    <w:p>
      <w:pPr>
        <w:spacing w:after="20"/>
      </w:pPr>
    </w:p>
    <w:p>
      <w:pPr>
        <w:pStyle w:val="SmallNote"/>
      </w:pPr>
      <w:r>
        <w:rPr>
          <w:b/>
        </w:rPr>
        <w:t xml:space="preserve">Cálculo de email. </w:t>
      </w:r>
      <w:r>
        <w:t>Promedio presupuestario de 2.2 envíos por HCP único. Se aplican las tarifas PLM por volumen comunicadas, usando rangos cuando debe confirmarse si el descuento aplica a todo el volumen o de forma incremental. Fine podría participar en una fracción, pero su universo informado de 20,118 HCPs con email no permite cubrir por sí solo estos escenarios.</w:t>
      </w:r>
    </w:p>
    <w:p>
      <w:pPr>
        <w:pStyle w:val="SmallNote"/>
      </w:pPr>
      <w:r>
        <w:rPr>
          <w:b/>
        </w:rPr>
        <w:t xml:space="preserve">Cálculo de canales directos. </w:t>
      </w:r>
      <w:r>
        <w:t>En el escenario Prudente, 20% de la cohorte recibe un mensaje autorizado. En los escenarios Intermedio y Amplio, entre 20% y 30% recibe hasta dos mensajes por WhatsApp, SMS o push a USD 0.30 por impacto. No se utiliza WhatsApp de Fine hasta aclarar su estructura económica.</w:t>
      </w:r>
    </w:p>
    <w:p>
      <w:pPr>
        <w:pStyle w:val="SmallNote"/>
      </w:pPr>
      <w:r>
        <w:rPr>
          <w:b/>
        </w:rPr>
        <w:t xml:space="preserve">Cálculo de banners y contingencia. </w:t>
      </w:r>
      <w:r>
        <w:t>El escenario Prudente considera tres países durante dos meses. Los escenarios Intermedio y Amplio presupuestan los 12 países solicitados durante tres y seis meses, respectivamente, a USD 3,000 mensuales por país. Se aplican los descuentos por duración comunicados por PLM cuando corresponde. El rango presupuestario preliminar incorpora aproximadamente 15% de contingencia por volumen, cobertura y mezcla de proveedores. Aunque PLM agrupa Centroamérica y República Dominicana como una región para la condición de descuento, la tarifa fue expresada como mensual por país; por prudencia, no se asumió una facturación regional consolidada.</w:t>
      </w:r>
    </w:p>
    <w:p>
      <w:pPr>
        <w:pStyle w:val="SmallNote"/>
      </w:pPr>
      <w:r>
        <w:rPr>
          <w:b/>
        </w:rPr>
        <w:t xml:space="preserve">Exclusiones. </w:t>
      </w:r>
      <w:r>
        <w:t>Los rangos no incluyen impuestos, el posible cargo de Fine de USD 12 por HCP transferido ni los servicios de IQVIA. En particular, permanecen pendientes de cotización el fee del cruce mediante OneKey, social listening, segmentación y targeting, y la activación por canales de IQVIA. Merck podría solicitar o contrastar directamente estas tarifas dentro de su relación comercial con IQVIA para completar la estimación y comparar alternativas sobre una base equivalente.</w:t>
      </w:r>
    </w:p>
    <w:p>
      <w:pPr>
        <w:pStyle w:val="Heading2"/>
      </w:pPr>
      <w:r>
        <w:t>Arquitectura de olas y reglas de decisión</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208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Momento</w:t>
            </w:r>
          </w:p>
        </w:tc>
        <w:tc>
          <w:tcPr>
            <w:tcW w:type="dxa" w:w="396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Decisión basada en datos</w:t>
            </w:r>
          </w:p>
        </w:tc>
        <w:tc>
          <w:tcPr>
            <w:tcW w:type="dxa" w:w="424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Tratamiento sugerido</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Ola 1  Descubrimiento</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Identificar entrega, apertura, clic, visita y registro por segmento.</w:t>
            </w:r>
          </w:p>
        </w:tc>
        <w:tc>
          <w:tcPr>
            <w:tcW w:type="dxa" w:w="42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Email y medios propios del proveedor para establecer la línea base.</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Ola 2  Optimización</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Separar registrados, interesados sin registro y no respondedores.</w:t>
            </w:r>
          </w:p>
        </w:tc>
        <w:tc>
          <w:tcPr>
            <w:tcW w:type="dxa" w:w="42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Suprimir registrados; usar recordatorio o canal autorizado alternativo solo para los segmentos pertinentes.</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Ola 3  Escalamiento</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Priorizar países, especialidades, contenidos y proveedores con mejor eficiencia.</w:t>
            </w:r>
          </w:p>
        </w:tc>
        <w:tc>
          <w:tcPr>
            <w:tcW w:type="dxa" w:w="42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Ampliar únicamente las combinaciones con evidencia; probar nuevas variantes con grupos comparables.</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Cierre  Aprendizaje</w:t>
            </w:r>
          </w:p>
        </w:tc>
        <w:tc>
          <w:tcPr>
            <w:tcW w:type="dxa" w:w="39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Actualizar tasas reales y costo por resultado.</w:t>
            </w:r>
          </w:p>
        </w:tc>
        <w:tc>
          <w:tcPr>
            <w:tcW w:type="dxa" w:w="42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Recalcular el presupuesto y documentar aprendizajes para el siguiente ciclo.</w:t>
            </w:r>
          </w:p>
        </w:tc>
      </w:tr>
    </w:tbl>
    <w:p>
      <w:pPr>
        <w:spacing w:after="20"/>
      </w:pPr>
    </w:p>
    <w:p>
      <w:pPr>
        <w:pStyle w:val="Heading2"/>
      </w:pPr>
      <w:r>
        <w:t>Rol de EngageBox en la selección del modelo</w:t>
      </w:r>
    </w:p>
    <w:p>
      <w:r>
        <w:t>Los costos externos de activación se mantendrán separados del precio base de EngageBox hasta contar con un plan aprobado. Si Merck selecciona a EngageBox, trabajaremos conjuntamente para comparar IQVIA, PLM y Fine por cobertura efectiva de HCPs no visitados, calidad y autorización de los datos, capacidades por canal, medición, trazabilidad y costo por resultado. La combinación final buscará asignar cada componente al proveedor que ofrezca la mejor relación entre capacidad, alcance y costo, sin favorecer una base propia. Cualquier costo externo se someterá a aprobación previa de Merck y se trasladará sin margen adicional de EngageBox.</w:t>
      </w:r>
    </w:p>
    <w:p>
      <w:pPr>
        <w:pStyle w:val="Heading2"/>
      </w:pPr>
      <w:r>
        <w:t>Referencia externa para escenarios de conversión</w:t>
      </w:r>
    </w:p>
    <w:p>
      <w:r>
        <w:t>Como referencia externa, SpotMe / Onomi publicó un análisis basado en más de 3,000 eventos dirigidos exclusivamente a HCPs, incluidos programas independientes de educación médica, eventos virtuales y webinars de las 50 principales compañías farmacéuticas. Para convocatorias abiertas enviadas a audiencias amplias de varios miles de HCPs, el estudio reportó tasas de conversión a registro de entre 1% y 8%. El contexto de SOMOS no es idéntico al de un evento; por ello, esta referencia se utiliza únicamente para construir sensibilidades de planeación y no constituye un objetivo fijo, una proyección ni una garantía.</w:t>
      </w:r>
    </w:p>
    <w:p>
      <w:pPr>
        <w:pStyle w:val="SmallNote"/>
      </w:pPr>
      <w:r>
        <w:rPr>
          <w:b/>
        </w:rPr>
        <w:t xml:space="preserve">Fuente de referencia. </w:t>
      </w:r>
      <w:r>
        <w:t>SpotMe / Onomi, “Omnichannel HCP Event Engagement Benchmarks”, estudio de más de 3,000 eventos HCP. https://www.onomi.io/resources/blog/hcp-event-engagement/ Consultado el 2 de octubre de 2026.</w:t>
      </w:r>
    </w:p>
    <w:tbl>
      <w:tblPr>
        <w:tblW w:type="auto" w:w="0"/>
        <w:jc w:val="center"/>
        <w:tblLayout w:type="fixed"/>
        <w:tblLook w:firstColumn="1" w:firstRow="1" w:lastColumn="0" w:lastRow="0" w:noHBand="0" w:noVBand="1" w:val="04A0"/>
      </w:tblPr>
      <w:tblGrid>
        <w:gridCol w:w="1714"/>
        <w:gridCol w:w="1714"/>
        <w:gridCol w:w="1714"/>
        <w:gridCol w:w="1714"/>
        <w:gridCol w:w="1714"/>
        <w:gridCol w:w="1714"/>
      </w:tblGrid>
      <w:tr>
        <w:trPr>
          <w:tblHeader w:val="true"/>
        </w:trPr>
        <w:tc>
          <w:tcPr>
            <w:tcW w:type="dxa" w:w="216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Cohorte anual</w:t>
            </w:r>
          </w:p>
        </w:tc>
        <w:tc>
          <w:tcPr>
            <w:tcW w:type="dxa" w:w="208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HCPs únicos</w:t>
            </w:r>
          </w:p>
        </w:tc>
        <w:tc>
          <w:tcPr>
            <w:tcW w:type="dxa" w:w="144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1%</w:t>
            </w:r>
          </w:p>
        </w:tc>
        <w:tc>
          <w:tcPr>
            <w:tcW w:type="dxa" w:w="165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3%</w:t>
            </w:r>
          </w:p>
        </w:tc>
        <w:tc>
          <w:tcPr>
            <w:tcW w:type="dxa" w:w="165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5%</w:t>
            </w:r>
          </w:p>
        </w:tc>
        <w:tc>
          <w:tcPr>
            <w:tcW w:type="dxa" w:w="180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8%</w:t>
            </w:r>
          </w:p>
        </w:tc>
      </w:tr>
      <w:tr>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Prudente</w:t>
            </w:r>
          </w:p>
        </w:tc>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50,000 a 60,000</w:t>
            </w:r>
          </w:p>
        </w:tc>
        <w:tc>
          <w:tcPr>
            <w:tcW w:type="dxa" w:w="14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500 a 600</w:t>
            </w:r>
          </w:p>
        </w:tc>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1,500 a 1,800</w:t>
            </w:r>
          </w:p>
        </w:tc>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2,500 a 3,000</w:t>
            </w:r>
          </w:p>
        </w:tc>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4,000 a 4,800</w:t>
            </w:r>
          </w:p>
        </w:tc>
      </w:tr>
      <w:tr>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Intermedio</w:t>
            </w:r>
          </w:p>
        </w:tc>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5"/>
              </w:rPr>
              <w:t>100,000 a 125,000</w:t>
            </w:r>
          </w:p>
        </w:tc>
        <w:tc>
          <w:tcPr>
            <w:tcW w:type="dxa" w:w="14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5"/>
              </w:rPr>
              <w:t>1,000 a 1,250</w:t>
            </w:r>
          </w:p>
        </w:tc>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5"/>
              </w:rPr>
              <w:t>3,000 a 3,750</w:t>
            </w:r>
          </w:p>
        </w:tc>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5"/>
              </w:rPr>
              <w:t>5,000 a 6,250</w:t>
            </w:r>
          </w:p>
        </w:tc>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5"/>
              </w:rPr>
              <w:t>8,000 a 10,000</w:t>
            </w:r>
          </w:p>
        </w:tc>
      </w:tr>
      <w:tr>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Escalamiento amplio</w:t>
            </w:r>
          </w:p>
        </w:tc>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150,000 a 180,000</w:t>
            </w:r>
          </w:p>
        </w:tc>
        <w:tc>
          <w:tcPr>
            <w:tcW w:type="dxa" w:w="14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1,500 a 1,800</w:t>
            </w:r>
          </w:p>
        </w:tc>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4,500 a 5,400</w:t>
            </w:r>
          </w:p>
        </w:tc>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7,500 a 9,000</w:t>
            </w:r>
          </w:p>
        </w:tc>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5"/>
              </w:rPr>
              <w:t>12,000 a 14,400</w:t>
            </w:r>
          </w:p>
        </w:tc>
      </w:tr>
    </w:tbl>
    <w:p>
      <w:pPr>
        <w:spacing w:after="20"/>
      </w:pPr>
    </w:p>
    <w:p>
      <w:pPr>
        <w:pStyle w:val="SmallNote"/>
      </w:pPr>
      <w:r>
        <w:rPr>
          <w:b/>
        </w:rPr>
        <w:t xml:space="preserve">Lectura de la tabla. </w:t>
      </w:r>
      <w:r>
        <w:t>Los valores representan registros matemáticos bajo cada sensibilidad, no metas, proyecciones ni compromisos de desempeño. Ninguna de las tasas debe utilizarse como expectativa base hasta observar el desempeño real de las primeras olas.</w:t>
      </w:r>
    </w:p>
    <w:p>
      <w:pPr>
        <w:pStyle w:val="Heading2"/>
      </w:pPr>
      <w:r>
        <w:t>Estrategia de ejecución y aprendizaje</w:t>
      </w:r>
    </w:p>
    <w:p>
      <w:r>
        <w:t>EngageBox recomienda iniciar con una primera ola medible, evaluar el desempeño por país, especialidad, mensaje y proveedor, y usar esos resultados para refinar las siguientes olas. El seguimiento debe distinguir mensajes enviados, entregas, aperturas, clics únicos, visitas a la página, registros iniciados, registros completados, consentimientos y primera actividad dentro de SOMOS. La tasa real observada sustituiría los supuestos ilustrativos para actualizar el presupuesto y decidir el escalamiento.</w:t>
      </w:r>
    </w:p>
    <w:p>
      <w:pPr>
        <w:pStyle w:val="Heading2"/>
      </w:pPr>
      <w:r>
        <w:t>Canales y estrategias opcionales</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172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Canal o estrategia</w:t>
            </w:r>
          </w:p>
        </w:tc>
        <w:tc>
          <w:tcPr>
            <w:tcW w:type="dxa" w:w="288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Proveedor y referencia</w:t>
            </w:r>
          </w:p>
        </w:tc>
        <w:tc>
          <w:tcPr>
            <w:tcW w:type="dxa" w:w="381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Uso potencial</w:t>
            </w:r>
          </w:p>
        </w:tc>
        <w:tc>
          <w:tcPr>
            <w:tcW w:type="dxa" w:w="295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Estado presupuestario</w:t>
            </w:r>
          </w:p>
        </w:tc>
      </w:tr>
      <w:tr>
        <w:tc>
          <w:tcPr>
            <w:tcW w:type="dxa" w:w="172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WhatsApp</w:t>
            </w:r>
          </w:p>
        </w:tc>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PLM: USD 0.30 por mensaje. Fine: estructura pendiente de aclaración.</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Recordatorio o activación selectiva de HCPs con autorización válida para el canal.</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Incluido solo de forma ilustrativa en el componente directo selectivo.</w:t>
            </w:r>
          </w:p>
        </w:tc>
      </w:tr>
      <w:tr>
        <w:tc>
          <w:tcPr>
            <w:tcW w:type="dxa" w:w="172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Mensaje de texto</w:t>
            </w:r>
          </w:p>
        </w:tc>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PLM: USD 0.30 por mensaje. Fine: no cotizado.</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Recordatorios breves según disponibilidad de teléfono y autorización aplicable.</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Incluido solo de forma ilustrativa en el componente directo selectivo.</w:t>
            </w:r>
          </w:p>
        </w:tc>
      </w:tr>
      <w:tr>
        <w:tc>
          <w:tcPr>
            <w:tcW w:type="dxa" w:w="172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Notificación push</w:t>
            </w:r>
          </w:p>
        </w:tc>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PLM: USD 0.30 por notificación. Fine: no cotizado.</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Alcance a HCPs disponibles dentro de la aplicación del proveedor.</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Incluido solo de forma ilustrativa en el componente directo selectivo.</w:t>
            </w:r>
          </w:p>
        </w:tc>
      </w:tr>
      <w:tr>
        <w:tc>
          <w:tcPr>
            <w:tcW w:type="dxa" w:w="172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Banner</w:t>
            </w:r>
          </w:p>
        </w:tc>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PLM: USD 3,000 mensuales por país.</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Generar alcance e impresiones dentro de la aplicación o web de PLM.</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Incluido en los escenarios; no es directamente comparable con email.</w:t>
            </w:r>
          </w:p>
        </w:tc>
      </w:tr>
      <w:tr>
        <w:tc>
          <w:tcPr>
            <w:tcW w:type="dxa" w:w="172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Social listening</w:t>
            </w:r>
          </w:p>
        </w:tc>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4"/>
              </w:rPr>
              <w:t>IQVIA.</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Identificar temas, necesidades y señales agregadas para mejorar segmentación, contenido y targeting.</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Pendiente de recibir cotización de IQVIA; no incluido en los escenarios.</w:t>
            </w:r>
          </w:p>
        </w:tc>
      </w:tr>
      <w:tr>
        <w:tc>
          <w:tcPr>
            <w:tcW w:type="dxa" w:w="172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Activación modular</w:t>
            </w:r>
          </w:p>
        </w:tc>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4"/>
              </w:rPr>
              <w:t>IQVIA.</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Complementar el alcance mediante los canales y módulos que IQVIA proponga después del cruce.</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Pendiente de recibir cotización de IQVIA; no incluido en los escenarios.</w:t>
            </w:r>
          </w:p>
        </w:tc>
      </w:tr>
    </w:tbl>
    <w:p>
      <w:pPr>
        <w:spacing w:after="20"/>
      </w:pPr>
    </w:p>
    <w:p>
      <w:pPr>
        <w:pStyle w:val="Heading2"/>
      </w:pPr>
      <w:r>
        <w:t>Costo por clic y condiciones pendientes</w:t>
      </w:r>
    </w:p>
    <w:p>
      <w:r>
        <w:t>Ninguno de los proveedores cotizó bajo un modelo de costo por clic (CPC). PLM reporta clics y tasa de clics sobre emails abiertos (CTOR), y Fine reporta clics únicos, pero ninguno garantiza una cantidad de clics. El CPC efectivo solo podrá calcularse después de la campaña dividiendo el costo total de activación entre los clics únicos obtenidos.</w:t>
      </w:r>
    </w:p>
    <w:p>
      <w:pPr>
        <w:pStyle w:val="ListBullet"/>
        <w:spacing w:after="60"/>
        <w:ind w:left="317" w:hanging="230"/>
      </w:pPr>
      <w:r>
        <w:t>PLM debe confirmar por escrito el universo de aproximadamente 450,000 HCPs, el desglose por país y especialidad, las autorizaciones de contacto, el cruce con la lista de médicos visitados, su costo y el flujo de registro y opt-in en SOMOS.</w:t>
      </w:r>
    </w:p>
    <w:p>
      <w:pPr>
        <w:pStyle w:val="ListBullet"/>
        <w:spacing w:after="60"/>
        <w:ind w:left="317" w:hanging="230"/>
      </w:pPr>
      <w:r>
        <w:t>PLM debe confirmar si las tarifas reducidas se aplican a todo el volumen al alcanzar cada umbral o únicamente al volumen incremental, y si el volumen se acumula por campaña o por contratación anual.</w:t>
      </w:r>
    </w:p>
    <w:p>
      <w:pPr>
        <w:pStyle w:val="ListBullet"/>
        <w:spacing w:after="60"/>
        <w:ind w:left="317" w:hanging="230"/>
      </w:pPr>
      <w:r>
        <w:t>Fine debe confirmar la aplicación de los descuentos por volumen, el tratamiento del fee en campañas sucesivas y el cálculo y alcance de WhatsApp.</w:t>
      </w:r>
    </w:p>
    <w:p>
      <w:pPr>
        <w:pStyle w:val="ListBullet"/>
        <w:spacing w:after="60"/>
        <w:ind w:left="317" w:hanging="230"/>
      </w:pPr>
      <w:r>
        <w:t>Fine menciona USD 12 por HCP transferido. Este cargo no se incluye en el presupuesto base porque el HCP registraría directamente sus datos y consentimiento en SOMOS; su aplicabilidad continúa pendiente de aclaración.</w:t>
      </w:r>
    </w:p>
    <w:p>
      <w:pPr>
        <w:pStyle w:val="Heading2"/>
      </w:pPr>
      <w:r>
        <w:t>IQVIA</w:t>
      </w:r>
    </w:p>
    <w:p>
      <w:r>
        <w:t>IQVIA respondió el 2 de octubre de 2026 a través de Diana de Abreu y Christopher Ruf, y confirmó que puede estructurar la solución de manera modular. Indicó que puede recibir la base de Merck y realizar el cruce para identificar el universo no cubierto mediante OneKey. IQVIA confirmó que este servicio de cruce tiene un fee adicional; el monto aún no fue informado. También propuso considerar social listening como insumo para la segmentación y el targeting. IQVIA indicó que enviaría la cotización económica y el alcance escrito el lunes 5 de octubre de 2026; al cierre de este documento aún no se habían recibido. Por ello, se reconoce el costo del cruce y las capacidades propuestas, pero no se les asigna un valor estimado.</w:t>
      </w:r>
    </w:p>
    <w:p>
      <w:pPr>
        <w:pStyle w:val="SmallNote"/>
      </w:pPr>
      <w:r>
        <w:rPr>
          <w:b/>
        </w:rPr>
        <w:t xml:space="preserve">Uso prudente de social listening. </w:t>
      </w:r>
      <w:r>
        <w:t>Puede aportar señales agregadas sobre temas, necesidades y conversaciones para orientar segmentos, contenidos y mensajes. No debe presentarse como identificación individual de médicos ni como permiso para contactarlos, salvo que IQVIA documente la fuente, el vínculo con el HCP, la base legal, el consentimiento y la trazabilidad aplicable.</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237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Módulo IQVIA por cotizar</w:t>
            </w:r>
          </w:p>
        </w:tc>
        <w:tc>
          <w:tcPr>
            <w:tcW w:type="dxa" w:w="432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Uso potencial</w:t>
            </w:r>
          </w:p>
        </w:tc>
        <w:tc>
          <w:tcPr>
            <w:tcW w:type="dxa" w:w="360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Información pendiente</w:t>
            </w:r>
          </w:p>
        </w:tc>
      </w:tr>
      <w:tr>
        <w:tc>
          <w:tcPr>
            <w:tcW w:type="dxa" w:w="237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Cruce de audiencias</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Recibir la base de Merck e identificar el universo no cubierto mediante OneKey. IQVIA confirmó que aplica un fee.</w:t>
            </w:r>
          </w:p>
        </w:tc>
        <w:tc>
          <w:tcPr>
            <w:tcW w:type="dxa" w:w="36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Monto del fee, identificadores, seguridad, países, tiempos y entregable.</w:t>
            </w:r>
          </w:p>
        </w:tc>
      </w:tr>
      <w:tr>
        <w:tc>
          <w:tcPr>
            <w:tcW w:type="dxa" w:w="237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Segmentación y targeting</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Priorizar especialidades, países y perfiles con base en datos disponibles.</w:t>
            </w:r>
          </w:p>
        </w:tc>
        <w:tc>
          <w:tcPr>
            <w:tcW w:type="dxa" w:w="36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Variables, metodología, granularidad y costo.</w:t>
            </w:r>
          </w:p>
        </w:tc>
      </w:tr>
      <w:tr>
        <w:tc>
          <w:tcPr>
            <w:tcW w:type="dxa" w:w="237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Social listening</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Informar temas de interés, mensajes y contenidos por segmento.</w:t>
            </w:r>
          </w:p>
        </w:tc>
        <w:tc>
          <w:tcPr>
            <w:tcW w:type="dxa" w:w="36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Fuentes, cobertura, cumplimiento, nivel de identificación y costo.</w:t>
            </w:r>
          </w:p>
        </w:tc>
      </w:tr>
      <w:tr>
        <w:tc>
          <w:tcPr>
            <w:tcW w:type="dxa" w:w="237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Activación por canales</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Ejecutar módulos de alcance y seguimiento que IQVIA incluya en su propuesta.</w:t>
            </w:r>
          </w:p>
        </w:tc>
        <w:tc>
          <w:tcPr>
            <w:tcW w:type="dxa" w:w="36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Canales, consentimiento, frecuencias, métricas, atribución y tarifas.</w:t>
            </w:r>
          </w:p>
        </w:tc>
      </w:tr>
    </w:tbl>
    <w:p>
      <w:pPr>
        <w:spacing w:after="20"/>
      </w:pPr>
    </w:p>
    <w:p>
      <w:r>
        <w:rPr>
          <w:b/>
        </w:rPr>
        <w:t xml:space="preserve">Independencia y transparencia. </w:t>
      </w:r>
      <w:r>
        <w:t>EngageBox no monetiza una base de datos propia ni condiciona la estrategia a un proveedor específico. Nuestro rol es ayudar a Merck a validar el universo elegible, comparar las alternativas de activación y seleccionar la combinación más apropiada para los objetivos del programa. Las tarifas de PLM se presentan como condiciones proporcionadas a EngageBox para un posible escenario de contratación como proveedor externo de activación; Merck puede validarlas directamente con PLM. Las cotizaciones recibidas se incorporan como anexos y los costos externos se trasladarán sin margen adicional de EngageBox, con aprobación previa de Merck.</w:t>
      </w:r>
    </w:p>
    <w:p>
      <w:r>
        <w:rPr>
          <w:b/>
        </w:rPr>
        <w:t xml:space="preserve">Decisión de alcance y actualización presupuestaria. </w:t>
      </w:r>
      <w:r>
        <w:t>Una vez realizado el cruce de audiencias, EngageBox trabajaría con Merck para convertir el universo elegible en cohortes priorizadas y recomendar el mix de proveedores, canales y frecuencias que ofrezca el mejor uso de cada dólar de activación. El presupuesto se actualizaría progresivamente con resultados reales de entrega, respuesta, registro y engagement, evitando comprometer desde el inicio la activación de todo el universo disponible. Los rangos presentados son órdenes de magnitud para planeación y no una cotización final ni una garantía de cobertura o resultado.</w:t>
      </w:r>
    </w:p>
    <w:p>
      <w:pPr>
        <w:pStyle w:val="Heading1"/>
      </w:pPr>
      <w:r>
        <w:t>2  Cruce de audiencias y acceso a los datos</w:t>
      </w:r>
    </w:p>
    <w:p>
      <w:pPr>
        <w:pStyle w:val="Heading2"/>
      </w:pPr>
      <w:r>
        <w:t>Pregunta de Merck</w:t>
      </w:r>
    </w:p>
    <w:p>
      <w:r>
        <w:rPr>
          <w:i/>
        </w:rPr>
        <w:t>¿Cómo se realizará el cruce para identificar a los médicos no visitados y quién tendrá acceso a las bases de datos?</w:t>
      </w:r>
    </w:p>
    <w:p>
      <w:pPr>
        <w:pStyle w:val="Heading2"/>
      </w:pPr>
      <w:r>
        <w:t>Respuesta propuesta de EngageBox</w:t>
      </w:r>
    </w:p>
    <w:p>
      <w:r>
        <w:t>El modelo recomendado no contempla que el proveedor entregue su base completa a Merck o a EngageBox. Tampoco implica necesariamente que Merck comparta su base de médicos visitados en formato abierto.</w:t>
      </w:r>
    </w:p>
    <w:p>
      <w:r>
        <w:t>El cruce funcionaría como una lista de exclusión:</w:t>
      </w:r>
    </w:p>
    <w:p>
      <w:pPr>
        <w:pStyle w:val="ListNumber"/>
        <w:spacing w:after="60"/>
      </w:pPr>
      <w:r>
        <w:t>Merck proporcionaría, directamente o mediante el mecanismo seguro que se acuerde, los identificadores mínimos necesarios de los médicos ya visitados.</w:t>
      </w:r>
    </w:p>
    <w:p>
      <w:pPr>
        <w:pStyle w:val="ListNumber"/>
        <w:spacing w:after="60"/>
      </w:pPr>
      <w:r>
        <w:t>El proveedor compararía esa lista con su propio universo de médicos autorizados para recibir comunicaciones.</w:t>
      </w:r>
    </w:p>
    <w:p>
      <w:pPr>
        <w:pStyle w:val="ListNumber"/>
        <w:spacing w:after="60"/>
      </w:pPr>
      <w:r>
        <w:t>Los médicos encontrados en ambas fuentes quedarían excluidos antes de ejecutar la campaña.</w:t>
      </w:r>
    </w:p>
    <w:p>
      <w:pPr>
        <w:pStyle w:val="ListNumber"/>
        <w:spacing w:after="60"/>
      </w:pPr>
      <w:r>
        <w:t>El proveedor activaría únicamente a los médicos elegibles no visitados, utilizando sus propios canales y consentimientos.</w:t>
      </w:r>
    </w:p>
    <w:p>
      <w:pPr>
        <w:pStyle w:val="ListNumber"/>
        <w:spacing w:after="60"/>
      </w:pPr>
      <w:r>
        <w:t>Los médicos interesados serían dirigidos a la página de registro de SOMOS.</w:t>
      </w:r>
    </w:p>
    <w:p>
      <w:pPr>
        <w:pStyle w:val="ListNumber"/>
        <w:spacing w:after="60"/>
      </w:pPr>
      <w:r>
        <w:t>Únicamente cuando un médico complete voluntariamente el registro y otorgue el consentimiento correspondiente, sus datos pasarían directamente a SOMOS para la gestión del programa y la medición de su interacción.</w:t>
      </w:r>
    </w:p>
    <w:p>
      <w:r>
        <w:t>Por lo tanto, EngageBox y Merck no recibirían la base completa del proveedor. Recibirían los datos de los médicos que se registren voluntariamente en SOMOS, junto con la información permitida por el consentimiento y las condiciones de privacidad acordadas.</w:t>
      </w:r>
    </w:p>
    <w:p>
      <w:pPr>
        <w:pStyle w:val="Heading2"/>
      </w:pPr>
      <w:r>
        <w:t>Estado de confirmación por proveedor</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288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Proveedor</w:t>
            </w:r>
          </w:p>
        </w:tc>
        <w:tc>
          <w:tcPr>
            <w:tcW w:type="dxa" w:w="741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Modelo confirmado o pendiente</w:t>
            </w:r>
          </w:p>
        </w:tc>
      </w:tr>
      <w:tr>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Fine Research / Fine Panel</w:t>
            </w:r>
          </w:p>
        </w:tc>
        <w:tc>
          <w:tcPr>
            <w:tcW w:type="dxa" w:w="74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Su propuesta confirma que Fine conservaría su base, recibiría de Merck una lista de exclusión, realizaría el cruce y contactaría únicamente a los médicos elegibles. Los interesados se registrarían directamente en la página de SOMOS.</w:t>
            </w:r>
          </w:p>
        </w:tc>
      </w:tr>
      <w:tr>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PLM</w:t>
            </w:r>
          </w:p>
        </w:tc>
        <w:tc>
          <w:tcPr>
            <w:tcW w:type="dxa" w:w="74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Pendiente de confirmación escrita sobre si puede realizar el cruce contra la lista de médicos visitados, qué identificadores requeriría, cómo protegería la información y si este proceso genera un costo adicional.</w:t>
            </w:r>
          </w:p>
        </w:tc>
      </w:tr>
      <w:tr>
        <w:tc>
          <w:tcPr>
            <w:tcW w:type="dxa" w:w="288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IQVIA</w:t>
            </w:r>
          </w:p>
        </w:tc>
        <w:tc>
          <w:tcPr>
            <w:tcW w:type="dxa" w:w="74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Diana de Abreu y Christopher Ruf confirmaron que IQVIA puede recibir la base de Merck y realizar el cruce para identificar el universo no cubierto mediante OneKey. IQVIA cobra un fee por este cruce; el monto está pendiente. La arquitectura de seguridad, los identificadores, el entregable y las condiciones de tratamiento quedan sujetos a la propuesta escrita prevista para el lunes 5 de octubre de 2026.</w:t>
            </w:r>
          </w:p>
        </w:tc>
      </w:tr>
    </w:tbl>
    <w:p>
      <w:pPr>
        <w:spacing w:after="20"/>
      </w:pPr>
    </w:p>
    <w:p>
      <w:r>
        <w:br w:type="page"/>
      </w:r>
    </w:p>
    <w:p>
      <w:pPr>
        <w:pStyle w:val="Heading1"/>
      </w:pPr>
      <w:r>
        <w:t>3  Demostración de la plataforma</w:t>
      </w:r>
    </w:p>
    <w:p>
      <w:pPr>
        <w:pStyle w:val="Heading2"/>
      </w:pPr>
      <w:r>
        <w:t>Pregunta de Merck</w:t>
      </w:r>
    </w:p>
    <w:p>
      <w:r>
        <w:rPr>
          <w:i/>
        </w:rPr>
        <w:t>¿Puede EngageBox proporcionar una demostración de la plataforma propuesta para SOMOS?</w:t>
      </w:r>
    </w:p>
    <w:p>
      <w:pPr>
        <w:pStyle w:val="Heading2"/>
      </w:pPr>
      <w:r>
        <w:t>Respuesta propuesta de EngageBox</w:t>
      </w:r>
    </w:p>
    <w:p>
      <w:r>
        <w:t>Sí. EngageBox proporcionará una demostración grabada del entorno de aprendizaje para mostrar la experiencia del médico y las capacidades de administración y medición relevantes para SOMOS. La demostración distinguirá las funcionalidades estándar de TalentLMS, las configuraciones que realizaría EngageBox y cualquier componente que requiera una integración adicional.</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309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Recorrido de la demostración</w:t>
            </w:r>
          </w:p>
        </w:tc>
        <w:tc>
          <w:tcPr>
            <w:tcW w:type="dxa" w:w="720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7"/>
              </w:rPr>
              <w:t>Contenido previsto</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Experiencia del médico</w:t>
            </w:r>
          </w:p>
        </w:tc>
        <w:tc>
          <w:tcPr>
            <w:tcW w:type="dxa" w:w="72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Acceso, página de inicio, navegación, catálogo o ruta asignada y continuidad entre sesiones.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Formatos y actividades</w:t>
            </w:r>
          </w:p>
        </w:tc>
        <w:tc>
          <w:tcPr>
            <w:tcW w:type="dxa" w:w="72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Ejemplos de contenido, video, audio, documentos, evaluaciones, encuestas, asignaciones y sesiones en vivo.</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Progreso y reconocimiento</w:t>
            </w:r>
          </w:p>
        </w:tc>
        <w:tc>
          <w:tcPr>
            <w:tcW w:type="dxa" w:w="72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Avance, criterios de finalización, rutas de aprendizaje y certificados.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Administración</w:t>
            </w:r>
          </w:p>
        </w:tc>
        <w:tc>
          <w:tcPr>
            <w:tcW w:type="dxa" w:w="72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Segmentación por grupos o entornos, asignación de contenido, notificaciones y seguimiento.</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Analítica</w:t>
            </w:r>
          </w:p>
        </w:tc>
        <w:tc>
          <w:tcPr>
            <w:tcW w:type="dxa" w:w="72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7"/>
              </w:rPr>
              <w:t>Reportes de usuarios, cursos y actividades; indicadores de progreso, finalización, tiempo y resultados.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Límites e integraciones</w:t>
            </w:r>
          </w:p>
        </w:tc>
        <w:tc>
          <w:tcPr>
            <w:tcW w:type="dxa" w:w="72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7"/>
              </w:rPr>
              <w:t>Diferencia entre datos nativos del LMS, indicadores construidos por EngageBox y datos externos que requerirían integración.</w:t>
            </w:r>
          </w:p>
        </w:tc>
      </w:tr>
    </w:tbl>
    <w:p>
      <w:pPr>
        <w:spacing w:after="20"/>
      </w:pPr>
    </w:p>
    <w:p>
      <w:pPr>
        <w:pStyle w:val="SmallNote"/>
      </w:pPr>
      <w:r>
        <w:rPr>
          <w:b/>
        </w:rPr>
        <w:t xml:space="preserve">Enlace de la demostración. </w:t>
      </w:r>
      <w:r>
        <w:t>[INSERTAR ENLACE AL VIDEO ANTES DE LA ENTREGA FINAL]</w:t>
      </w:r>
    </w:p>
    <w:p>
      <w:r>
        <w:br w:type="page"/>
      </w:r>
    </w:p>
    <w:p>
      <w:pPr>
        <w:pStyle w:val="Heading1"/>
      </w:pPr>
      <w:r>
        <w:t>4  Experiencias y analítica disponibles</w:t>
      </w:r>
    </w:p>
    <w:p>
      <w:pPr>
        <w:pStyle w:val="Heading2"/>
      </w:pPr>
      <w:r>
        <w:t>Pregunta de Merck</w:t>
      </w:r>
    </w:p>
    <w:p>
      <w:r>
        <w:rPr>
          <w:i/>
        </w:rPr>
        <w:t>¿Qué experiencias pueden ofrecerse al médico y qué información puede medirse a través de TalentLMS?</w:t>
      </w:r>
    </w:p>
    <w:p>
      <w:pPr>
        <w:pStyle w:val="Heading2"/>
      </w:pPr>
      <w:r>
        <w:t>Respuesta propuesta de EngageBox</w:t>
      </w:r>
    </w:p>
    <w:p>
      <w:r>
        <w:t>TalentLMS permite operar una experiencia digital continua para médicos, más amplia que una sucesión de webinars. La plataforma admite contenidos asincrónicos, actividades interactivas, sesiones en vivo, evaluaciones, rutas de aprendizaje, certificaciones y espacios de participación. Cada interacción identificada dentro de SOMOS puede analizarse por médico, país, especialidad, segmento, curso, contenido y periodo, siempre sujeto a la configuración, el plan contratado, el consentimiento y las reglas de privacidad acordadas.</w:t>
      </w:r>
    </w:p>
    <w:p>
      <w:r>
        <w:t>EngageBox propone trabajar en tres capas: datos nativos de TalentLMS, indicadores derivados por EngageBox y resultados externos que solo pueden incorporarse mediante integraciones o cruces autorizados. Esta separación permite demostrar capacidades reales sin atribuir al LMS funciones que no son nativas.</w:t>
      </w:r>
    </w:p>
    <w:p>
      <w:pPr>
        <w:pStyle w:val="Heading2"/>
      </w:pPr>
      <w:r>
        <w:t>Experiencias disponibles para el médico</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244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Experiencia</w:t>
            </w:r>
          </w:p>
        </w:tc>
        <w:tc>
          <w:tcPr>
            <w:tcW w:type="dxa" w:w="453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Aplicación posible en SOMOS</w:t>
            </w:r>
          </w:p>
        </w:tc>
        <w:tc>
          <w:tcPr>
            <w:tcW w:type="dxa" w:w="338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4"/>
              </w:rPr>
              <w:t>Evidencia o interacción medible</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Videos educativos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Cápsulas científicas, entrevistas, mecanismos de acción y actualizaciones clínicas.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Acceso, finalización, tiempo registrado y progreso.</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Audio y podcasts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Conversaciones con especialistas y resúmenes científicos para consumo flexible.</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Acceso, finalización y tiempo registrado.</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Artículos y contenidos editoriales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Revisiones científicas, novedades terapéuticas y contenido por especialidad.</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Acceso, finalización y tiempo registrado.</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Documentos e infografías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Algoritmos, guías rápidas, materiales de consulta y resúmenes clínicos.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Acceso y finalización de la unidad; la medición específica de descarga depende de la configuración.</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Presentaciones y contenido embebido</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Casos, patient journeys y recursos web integrados.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Progreso, finalización y tiempo registrado según el tipo de unidad.</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Contenido SCORM, xAPI o cmi5</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Simulaciones, escenarios clínicos y decisiones ramificadas.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Estado, puntuación, intentos e interacciones que el paquete esté programado para reportar.</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Casos clínicos y pruebas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Decisiones diagnósticas o terapéuticas y comprobaciones de conocimiento.</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Respuestas, intentos, puntuación, aprobación y tiempo.</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Encuestas y escalas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Necesidades educativas, satisfacción, preferencias y autopercepción.</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Respuestas individuales y resultados agregados.</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Asignaciones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Reflexiones, resolución de casos, planes de aplicación o carga de archivos.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Entrega, fecha, revisión, calificación y retroalimentación.</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Respuestas en audio o video</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Reflexiones clínicas o respuestas a casos sin exigir texto escrito.</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Envío, revisión y calificación.</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Sesiones virtuales o presenciales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Expert talks, talleres, discusiones clínicas y preguntas a expertos.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Inscripción, asistencia y finalización registrada.</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Discusiones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Preguntas, intercambio entre médicos y debate de casos.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Participación visible; su consolidación ejecutiva puede requerir tratamiento adicional.</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Rutas de aprendizaje</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Secuencias diferenciadas por especialidad, interés o comportamiento.</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Inscripción, avance, cursos completados y finalización de la ruta.</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Experiencias segmentadas</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Contenido diferenciado por país, idioma, especialidad o área terapéutica.</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Comparación de adopción y desempeño entre segmentos.</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Certificación</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Reconocimiento por completar cursos, rutas o evaluaciones.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Emisión, fecha, expiración y estado del certificado.</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Gamificación</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Puntos, niveles, insignias y rankings cuando resulten apropiados.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4"/>
              </w:rPr>
              <w:t>Puntos, insignias, nivel y posición.</w:t>
            </w:r>
          </w:p>
        </w:tc>
      </w:tr>
      <w:tr>
        <w:tc>
          <w:tcPr>
            <w:tcW w:type="dxa" w:w="244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Experiencia móvil</w:t>
            </w:r>
          </w:p>
        </w:tc>
        <w:tc>
          <w:tcPr>
            <w:tcW w:type="dxa" w:w="453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Acceso a contenidos compatibles desde dispositivos móviles.</w:t>
            </w:r>
          </w:p>
        </w:tc>
        <w:tc>
          <w:tcPr>
            <w:tcW w:type="dxa" w:w="338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4"/>
              </w:rPr>
              <w:t>Actividad, progreso y finalización sincronizados con el perfil.</w:t>
            </w:r>
          </w:p>
        </w:tc>
      </w:tr>
    </w:tbl>
    <w:p>
      <w:pPr>
        <w:spacing w:after="20"/>
      </w:pPr>
    </w:p>
    <w:p>
      <w:pPr>
        <w:pStyle w:val="SmallNote"/>
      </w:pPr>
      <w:r>
        <w:rPr>
          <w:b/>
        </w:rPr>
        <w:t xml:space="preserve">Definiciones técnicas. </w:t>
      </w:r>
      <w:r>
        <w:t>SCORM significa Sharable Content Object Reference Model; xAPI, Experience API; y cmi5 es un perfil técnico basado en xAPI. Permiten que contenidos interactivos compatibles comuniquen resultados al LMS. La granularidad depende de cómo se construya cada contenido.</w:t>
      </w:r>
    </w:p>
    <w:p>
      <w:pPr>
        <w:pStyle w:val="Heading2"/>
      </w:pPr>
      <w:r>
        <w:t>Analítica disponible y calculable</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309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Dimensión</w:t>
            </w:r>
          </w:p>
        </w:tc>
        <w:tc>
          <w:tcPr>
            <w:tcW w:type="dxa" w:w="727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5"/>
              </w:rPr>
              <w:t>Indicadores disponibles o calculables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Adopción</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Usuarios registrados, primer acceso, usuarios activos e inactivos.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Alcance dentro de SOMOS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Médicos inscritos por país, especialidad, segmento, curso o ruta.</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Recencia y frecuencia</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Última actividad, número de accesos y recurrencia durante un periodo.</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Progreso</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Porcentaje de avance por usuario, curso, unidad o ruta.</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Finalización</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Unidades, cursos y rutas iniciados, pendientes o completados.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Tiempo de aprendizaje</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Tiempo total por usuario, curso y unidad, conforme al método de captura de TalentLMS.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Consumo de contenido</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Unidades iniciadas y completadas, comparables por formato y segmento.</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Evaluaciones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Intentos, respuestas, puntuación, aprobación y desempeño por pregunta.</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Aprendizaje</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Comparación entre medición inicial y posterior cuando el diseño incluya ambas.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Contenido interactivo</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Datos SCORM, xAPI o cmi5 disponibles según la programación del paquete.</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Encuestas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Respuestas individuales, distribuciones y resultados agregados.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Asignaciones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Entregas, calificaciones, intentos y retroalimentación.</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Sesiones en vivo</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Inscritos, asistentes, ausentes y finalización registrada.</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Certificación</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Certificados emitidos, fecha, expiración y estado.</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Gamificación</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Puntos, insignias, niveles y posición cuando la funcionalidad esté habilitada.</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Segmentación</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Comparaciones por país, especialidad, grupo, cohorte, curso y campos configurados.</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Journey dentro de SOMOS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Secuencia de actividades, eventos y progresión del médico dentro del programa.</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Reportes operativos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Exportaciones por usuario, curso, actividad, prueba, encuesta, asignación y sesión.</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Dashboards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5"/>
              </w:rPr>
              <w:t>Indicadores configurables de actividad, progreso, engagement y desempeño, según el plan.</w:t>
            </w:r>
          </w:p>
        </w:tc>
      </w:tr>
      <w:tr>
        <w:tc>
          <w:tcPr>
            <w:tcW w:type="dxa" w:w="309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Distribución de reportes</w:t>
            </w:r>
          </w:p>
        </w:tc>
        <w:tc>
          <w:tcPr>
            <w:tcW w:type="dxa" w:w="72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5"/>
              </w:rPr>
              <w:t>Programación y envío periódico de determinados reportes a destinatarios autorizados.</w:t>
            </w:r>
          </w:p>
        </w:tc>
      </w:tr>
    </w:tbl>
    <w:p>
      <w:pPr>
        <w:spacing w:after="20"/>
      </w:pPr>
    </w:p>
    <w:p>
      <w:pPr>
        <w:pStyle w:val="Heading2"/>
      </w:pPr>
      <w:r>
        <w:t>Engagement score alineado con Merck</w:t>
      </w:r>
    </w:p>
    <w:p>
      <w:r>
        <w:t>EngageBox puede transformar los datos de interacción en un engagement score acordado con Merck. El score no es una métrica única y nativa de TalentLMS: sería un indicador calculado por EngageBox con reglas, ponderaciones, ventanas temporales y umbrales aprobados antes de su uso.</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302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Componente ilustrativo</w:t>
            </w:r>
          </w:p>
        </w:tc>
        <w:tc>
          <w:tcPr>
            <w:tcW w:type="dxa" w:w="7344"/>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Señales que podrían utilizarse</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Activación</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Registro, aceptación de términos y primer acceso.</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Recencia</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Días transcurridos desde la última actividad.</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Frecuencia</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Número de sesiones o actividades durante un periodo.</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Profundidad</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Avance, unidades completadas y tiempo de aprendizaje.</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Interacción</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Pruebas, encuestas, asignaciones, sesiones y discusiones.</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Aprendizaje</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Puntuaciones, aprobación y mejora entre mediciones.</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Continuidad</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Retorno al programa y avance hacia nuevos contenidos.</w:t>
            </w:r>
          </w:p>
        </w:tc>
      </w:tr>
      <w:tr>
        <w:tc>
          <w:tcPr>
            <w:tcW w:type="dxa" w:w="302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Logro</w:t>
            </w:r>
          </w:p>
        </w:tc>
        <w:tc>
          <w:tcPr>
            <w:tcW w:type="dxa" w:w="7344"/>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6"/>
              </w:rPr>
              <w:t>Finalización de rutas y obtención de certificados.</w:t>
            </w:r>
          </w:p>
        </w:tc>
      </w:tr>
    </w:tbl>
    <w:p>
      <w:pPr>
        <w:spacing w:after="20"/>
      </w:pPr>
    </w:p>
    <w:p>
      <w:pPr>
        <w:pStyle w:val="SmallNote"/>
      </w:pPr>
      <w:r>
        <w:rPr>
          <w:b/>
        </w:rPr>
        <w:t xml:space="preserve">Criterio de implementación. </w:t>
      </w:r>
      <w:r>
        <w:t>No se proponen ponderaciones definitivas en esta etapa. Se establecerían en el workshop inicial con Medical, Marketing, Compliance, Privacy y los responsables de medición, y se validarían contra el comportamiento real observado.</w:t>
      </w:r>
    </w:p>
    <w:p>
      <w:pPr>
        <w:pStyle w:val="Heading2"/>
      </w:pPr>
      <w:r>
        <w:t>Evaluaciones avanzadas opcionales</w:t>
      </w:r>
    </w:p>
    <w:p>
      <w:r>
        <w:t>Cuando Merck requiera una evaluación diagnóstica o una medición formal antes y después del programa, EngageBox puede complementar TalentLMS con TestInvite. Esta herramienta permite bancos de preguntas, aleatorización, límites de tiempo, control de intentos, ponderaciones, resultados por pregunta y configuraciones adicionales de integridad. No se presenta como una función nativa de TalentLMS ni como un componente obligatorio de SOMOS.</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324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Experiencia complementaria</w:t>
            </w:r>
          </w:p>
        </w:tc>
        <w:tc>
          <w:tcPr>
            <w:tcW w:type="dxa" w:w="3816"/>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Aplicación posible</w:t>
            </w:r>
          </w:p>
        </w:tc>
        <w:tc>
          <w:tcPr>
            <w:tcW w:type="dxa" w:w="331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6"/>
              </w:rPr>
              <w:t>Datos disponibles</w:t>
            </w:r>
          </w:p>
        </w:tc>
      </w:tr>
      <w:tr>
        <w:tc>
          <w:tcPr>
            <w:tcW w:type="dxa" w:w="324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Evaluación diagnóstica o de conocimiento mediante TestInvite</w:t>
            </w:r>
          </w:p>
        </w:tc>
        <w:tc>
          <w:tcPr>
            <w:tcW w:type="dxa" w:w="3816"/>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Línea base, segmentación por necesidad educativa o medición antes y después.</w:t>
            </w:r>
          </w:p>
        </w:tc>
        <w:tc>
          <w:tcPr>
            <w:tcW w:type="dxa" w:w="331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6"/>
              </w:rPr>
              <w:t>Respuestas, puntuaciones, resultados por dominio, intentos, tiempo y finalización; evidencias de integridad únicamente si se configuran y aprueban.</w:t>
            </w:r>
          </w:p>
        </w:tc>
      </w:tr>
    </w:tbl>
    <w:p>
      <w:pPr>
        <w:spacing w:after="20"/>
      </w:pPr>
    </w:p>
    <w:p>
      <w:r>
        <w:br w:type="page"/>
      </w:r>
    </w:p>
    <w:p>
      <w:pPr>
        <w:pStyle w:val="Heading2"/>
      </w:pPr>
      <w:r>
        <w:t>Límites y requisitos de integración</w:t>
      </w:r>
    </w:p>
    <w:p>
      <w:r>
        <w:t>TalentLMS proporciona información suficiente para medir el engagement identificado dentro de SOMOS, pero no demuestra por sí solo impactos de campañas externas, actividad en Veeva, exposición en redes sociales, nuevas recetas ni volumen prescrito. Tampoco permite atribuir causalmente una prescripción a una interacción educativa.</w:t>
      </w:r>
    </w:p>
    <w:p>
      <w:r>
        <w:t>Para conectar estas variables serían necesarios identificadores compatibles, consentimiento y base legal aplicable, reglas de privacidad, integración técnica o cruces periódicos con fuentes autorizadas. La interfaz de programación de aplicaciones de TalentLMS puede utilizarse para extraer o intercambiar determinados datos, pero cualquier integración específica deberá diseñarse, validarse y cotizarse; no viene configurada automáticamente.</w:t>
      </w:r>
    </w:p>
    <w:p>
      <w:r>
        <w:rPr>
          <w:b/>
        </w:rPr>
        <w:t xml:space="preserve">Conclusión. </w:t>
      </w:r>
      <w:r>
        <w:t>TalentLMS proporciona la información necesaria para medir el engagement identificado dentro de SOMOS. EngageBox convierte esos datos en segmentación, aprendizajes accionables y un engagement score acordado con Merck. La conexión con activación externa, CRM o prescripciones se plantea como una capa adicional de integración y medición, no como una capacidad nativa del LMS.</w:t>
      </w:r>
    </w:p>
    <w:p>
      <w:pPr>
        <w:pStyle w:val="SmallNote"/>
      </w:pPr>
      <w:r>
        <w:rPr>
          <w:b/>
        </w:rPr>
        <w:t xml:space="preserve">Fuentes de producto consultadas. </w:t>
      </w:r>
      <w:r>
        <w:t>TalentLMS Help Center: creación de cursos y tipos de contenido; reportes; Analytics; Learning Paths; tiempo por unidad; actividades de aprendizaje; reportes de curso; API V2; y contenido SCORM, xAPI y cmi5. Funcionalidades y disponibilidad sujetas al plan contratado y a cambios del proveedor.</w:t>
      </w:r>
    </w:p>
    <w:p>
      <w:pPr>
        <w:sectPr>
          <w:footerReference w:type="default" r:id="rId9"/>
          <w:pgSz w:w="12240" w:h="15840"/>
          <w:pgMar w:top="936" w:right="979" w:bottom="936" w:left="979" w:header="720" w:footer="720" w:gutter="0"/>
          <w:cols w:space="720"/>
          <w:docGrid w:linePitch="360"/>
        </w:sectPr>
      </w:pPr>
    </w:p>
    <w:p>
      <w:pPr>
        <w:pStyle w:val="Heading1"/>
      </w:pPr>
      <w:r>
        <w:t>Anexo A  Cotización recibida de PLM</w:t>
      </w:r>
    </w:p>
    <w:p>
      <w:r>
        <w:t>Fuente: correo de Javier Gordon, Grupo PLM. Para efectos de transparencia, la siguiente tabla reproduce la información recibida; únicamente se estandarizaron la ortografía y el formato. La cifra aproximada de 450,000 HCPs fue informada verbalmente en reunión y no forma parte de la tabla económica enviada por correo.</w:t>
      </w:r>
    </w:p>
    <w:tbl>
      <w:tblPr>
        <w:tblW w:type="auto" w:w="0"/>
        <w:jc w:val="center"/>
        <w:tblLayout w:type="fixed"/>
        <w:tblLook w:firstColumn="1" w:firstRow="1" w:lastColumn="0" w:lastRow="0" w:noHBand="0" w:noVBand="1" w:val="04A0"/>
      </w:tblPr>
      <w:tblGrid>
        <w:gridCol w:w="2098"/>
        <w:gridCol w:w="2098"/>
        <w:gridCol w:w="2098"/>
        <w:gridCol w:w="2098"/>
        <w:gridCol w:w="2098"/>
        <w:gridCol w:w="2098"/>
        <w:gridCol w:w="2098"/>
      </w:tblGrid>
      <w:tr>
        <w:trPr>
          <w:tblHeader w:val="true"/>
        </w:trPr>
        <w:tc>
          <w:tcPr>
            <w:tcW w:type="dxa" w:w="180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Servicio</w:t>
            </w:r>
          </w:p>
        </w:tc>
        <w:tc>
          <w:tcPr>
            <w:tcW w:type="dxa" w:w="367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Descripción</w:t>
            </w:r>
          </w:p>
        </w:tc>
        <w:tc>
          <w:tcPr>
            <w:tcW w:type="dxa" w:w="115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Tarifa 1</w:t>
              <w:br/>
              <w:t>Costo USD</w:t>
            </w:r>
          </w:p>
        </w:tc>
        <w:tc>
          <w:tcPr>
            <w:tcW w:type="dxa" w:w="1368"/>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Frecuencia</w:t>
            </w:r>
          </w:p>
        </w:tc>
        <w:tc>
          <w:tcPr>
            <w:tcW w:type="dxa" w:w="216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Tarifa 2</w:t>
              <w:br/>
              <w:t>USD</w:t>
            </w:r>
          </w:p>
        </w:tc>
        <w:tc>
          <w:tcPr>
            <w:tcW w:type="dxa" w:w="2160"/>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Tarifa 3</w:t>
              <w:br/>
              <w:t>USD</w:t>
            </w:r>
          </w:p>
        </w:tc>
        <w:tc>
          <w:tcPr>
            <w:tcW w:type="dxa" w:w="2232"/>
            <w:shd w:fill="17365D"/>
            <w:tcBorders>
              <w:top w:val="single" w:sz="5" w:color="D9D9D9"/>
              <w:left w:val="single" w:sz="5" w:color="D9D9D9"/>
              <w:bottom w:val="single" w:sz="5" w:color="D9D9D9"/>
              <w:right w:val="single" w:sz="5" w:color="D9D9D9"/>
              <w:insideH w:val="single" w:sz="5" w:color="D9D9D9"/>
              <w:insideV w:val="single" w:sz="5" w:color="D9D9D9"/>
            </w:tcBorders>
            <w:tcMar>
              <w:top w:w="90" w:type="dxa"/>
              <w:start w:w="90" w:type="dxa"/>
              <w:bottom w:w="90" w:type="dxa"/>
              <w:end w:w="90" w:type="dxa"/>
            </w:tcMar>
            <w:vAlign w:val="center"/>
          </w:tcPr>
          <w:p>
            <w:pPr>
              <w:spacing w:after="0"/>
              <w:jc w:val="center"/>
            </w:pPr>
            <w:r>
              <w:rPr>
                <w:rFonts w:ascii="Aptos" w:hAnsi="Aptos"/>
                <w:b/>
                <w:color w:val="FFFFFF"/>
                <w:sz w:val="13"/>
              </w:rPr>
              <w:t>Tarifa 4</w:t>
              <w:br/>
              <w:t>USD</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Banner en aplicación o web PLM</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Banner en pantalla de bienvenida o página principal de la aplicación o web PLM Medicamentos. Más de 30,000 impresiones mensuales garantizadas por país.</w:t>
            </w:r>
          </w:p>
        </w:tc>
        <w:tc>
          <w:tcPr>
            <w:tcW w:type="dxa" w:w="11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USD 3,000</w:t>
            </w:r>
          </w:p>
        </w:tc>
        <w:tc>
          <w:tcPr>
            <w:tcW w:type="dxa" w:w="13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Mensual por país</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10% de descuento por contratación de 1 a 3 meses, siempre que se contraten las 6 regiones o países.</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15% de descuento por contratación de 4 a 8 meses, siempre que se contraten las 6 regiones o países.</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20% de descuento por contratación mayor a 9 meses, siempre que se contraten las 6 regiones o países.</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Email</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Envío de correos electrónicos a la base de profesionales de la salud, segmentada por especialidad o país. Tasa de apertura garantizada superior a 20%.</w:t>
            </w:r>
          </w:p>
        </w:tc>
        <w:tc>
          <w:tcPr>
            <w:tcW w:type="dxa" w:w="11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USD 0.30</w:t>
            </w:r>
          </w:p>
        </w:tc>
        <w:tc>
          <w:tcPr>
            <w:tcW w:type="dxa" w:w="13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Por envío</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USD 0.25 con más de 100,000 correos anuales</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USD 0.20 con más de 200,000 correos anuales</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USD 0.18 con más de 500,000 correos anuales</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Notificación push</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Envío de notificaciones a dispositivos móviles a través de la aplicación, orientadas a alertas o promociones específicas. 100% de impactos.</w:t>
            </w:r>
          </w:p>
        </w:tc>
        <w:tc>
          <w:tcPr>
            <w:tcW w:type="dxa" w:w="11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USD 0.30</w:t>
            </w:r>
          </w:p>
        </w:tc>
        <w:tc>
          <w:tcPr>
            <w:tcW w:type="dxa" w:w="13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Por notificación</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No aplica</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No aplica</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No aplica</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Mensaje de texto SMS</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Envío de mensajes de texto a profesionales, ideal para notificaciones urgentes o recordatorios de eventos.</w:t>
            </w:r>
          </w:p>
        </w:tc>
        <w:tc>
          <w:tcPr>
            <w:tcW w:type="dxa" w:w="11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USD 0.30</w:t>
            </w:r>
          </w:p>
        </w:tc>
        <w:tc>
          <w:tcPr>
            <w:tcW w:type="dxa" w:w="13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Por mensaje</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pPr>
            <w:r>
              <w:rPr>
                <w:rFonts w:ascii="Aptos" w:hAnsi="Aptos"/>
                <w:color w:val="222222"/>
                <w:sz w:val="13"/>
              </w:rPr>
              <w:t>WhatsApp</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Envío de mensaje.</w:t>
            </w:r>
          </w:p>
        </w:tc>
        <w:tc>
          <w:tcPr>
            <w:tcW w:type="dxa" w:w="11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USD 0.30</w:t>
            </w:r>
          </w:p>
        </w:tc>
        <w:tc>
          <w:tcPr>
            <w:tcW w:type="dxa" w:w="13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Por mensaje</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No aplica</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No aplica</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vAlign w:val="center"/>
          </w:tcPr>
          <w:p>
            <w:pPr>
              <w:spacing w:after="0" w:line="240" w:lineRule="auto"/>
              <w:jc w:val="center"/>
            </w:pPr>
            <w:r>
              <w:rPr>
                <w:rFonts w:ascii="Aptos" w:hAnsi="Aptos"/>
                <w:color w:val="222222"/>
                <w:sz w:val="13"/>
              </w:rPr>
              <w:t>No aplica</w:t>
            </w:r>
          </w:p>
        </w:tc>
      </w:tr>
      <w:tr>
        <w:tc>
          <w:tcPr>
            <w:tcW w:type="dxa" w:w="180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Indicadores clave de desempeño</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pPr>
            <w:r>
              <w:rPr>
                <w:rFonts w:ascii="Aptos" w:hAnsi="Aptos"/>
                <w:color w:val="222222"/>
                <w:sz w:val="13"/>
              </w:rPr>
              <w:t>Todas las acciones incluyen indicadores mensuales o por envío. Banner: impresiones, clics, especialidades y país. Email: envíos, aperturas, tasa de clics sobre emails abiertos, especialidades y país. Notificaciones push, mensajes de texto y WhatsApp: envíos, aperturas o clics según el canal, especialidades y país.</w:t>
            </w:r>
          </w:p>
        </w:tc>
        <w:tc>
          <w:tcPr>
            <w:tcW w:type="dxa" w:w="115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c>
          <w:tcPr>
            <w:tcW w:type="dxa" w:w="1368"/>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c>
          <w:tcPr>
            <w:tcW w:type="dxa" w:w="2160"/>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c>
          <w:tcPr>
            <w:tcW w:type="dxa" w:w="2232"/>
            <w:tcBorders>
              <w:top w:val="single" w:sz="5" w:color="D9D9D9"/>
              <w:left w:val="single" w:sz="5" w:color="D9D9D9"/>
              <w:bottom w:val="single" w:sz="5" w:color="D9D9D9"/>
              <w:right w:val="single" w:sz="5" w:color="D9D9D9"/>
              <w:insideH w:val="single" w:sz="5" w:color="D9D9D9"/>
              <w:insideV w:val="single" w:sz="5" w:color="D9D9D9"/>
            </w:tcBorders>
            <w:tcMar>
              <w:top w:w="80" w:type="dxa"/>
              <w:start w:w="90" w:type="dxa"/>
              <w:bottom w:w="80" w:type="dxa"/>
              <w:end w:w="90" w:type="dxa"/>
            </w:tcMar>
            <w:shd w:fill="F3F6F9"/>
            <w:vAlign w:val="center"/>
          </w:tcPr>
          <w:p>
            <w:pPr>
              <w:spacing w:after="0" w:line="240" w:lineRule="auto"/>
              <w:jc w:val="center"/>
            </w:pPr>
            <w:r>
              <w:rPr>
                <w:rFonts w:ascii="Aptos" w:hAnsi="Aptos"/>
                <w:color w:val="222222"/>
                <w:sz w:val="13"/>
              </w:rPr>
              <w:t>No aplica</w:t>
            </w:r>
          </w:p>
        </w:tc>
      </w:tr>
    </w:tbl>
    <w:p>
      <w:pPr>
        <w:spacing w:after="20"/>
      </w:pPr>
    </w:p>
    <w:p>
      <w:pPr>
        <w:pStyle w:val="SmallNote"/>
      </w:pPr>
      <w:r>
        <w:rPr>
          <w:b/>
        </w:rPr>
        <w:t xml:space="preserve">Condición fiscal informada por PLM: </w:t>
      </w:r>
      <w:r>
        <w:t>las tarifas no incluyen IVA. Para los descuentos del banner, PLM definió las seis regiones o países como México, Centroamérica y República Dominicana, Colombia, Ecuador, Perú y Chile.</w:t>
      </w:r>
    </w:p>
    <w:p>
      <w:pPr>
        <w:sectPr>
          <w:footerReference w:type="default" r:id="rId10"/>
          <w:pgSz w:w="15840" w:h="12240"/>
          <w:pgMar w:top="792" w:right="576" w:bottom="792" w:left="576" w:header="720" w:footer="720" w:gutter="0"/>
          <w:cols w:space="720"/>
          <w:docGrid w:linePitch="360"/>
        </w:sectPr>
      </w:pPr>
    </w:p>
    <w:p>
      <w:pPr>
        <w:pStyle w:val="Heading1"/>
      </w:pPr>
      <w:r>
        <w:t>Anexo B  Cotización recibida de Fine Research y Fine Panel</w:t>
      </w:r>
    </w:p>
    <w:p>
      <w:r>
        <w:t>Se incorpora a continuación la propuesta completa recibida por EngageBox, fechada el 29 de septiembre de 2026.</w:t>
      </w:r>
    </w:p>
    <w:p>
      <w:pPr>
        <w:spacing w:before="0" w:after="0"/>
        <w:jc w:val="center"/>
      </w:pPr>
      <w:r>
        <w:drawing>
          <wp:inline xmlns:a="http://schemas.openxmlformats.org/drawingml/2006/main" xmlns:pic="http://schemas.openxmlformats.org/drawingml/2006/picture">
            <wp:extent cx="5989320" cy="7750885"/>
            <wp:docPr id="1" name="Picture 1"/>
            <wp:cNvGraphicFramePr>
              <a:graphicFrameLocks noChangeAspect="1"/>
            </wp:cNvGraphicFramePr>
            <a:graphic>
              <a:graphicData uri="http://schemas.openxmlformats.org/drawingml/2006/picture">
                <pic:pic>
                  <pic:nvPicPr>
                    <pic:cNvPr id="0" name="fine-1.png"/>
                    <pic:cNvPicPr/>
                  </pic:nvPicPr>
                  <pic:blipFill>
                    <a:blip r:embed="rId12"/>
                    <a:stretch>
                      <a:fillRect/>
                    </a:stretch>
                  </pic:blipFill>
                  <pic:spPr>
                    <a:xfrm>
                      <a:off x="0" y="0"/>
                      <a:ext cx="5989320" cy="7750885"/>
                    </a:xfrm>
                    <a:prstGeom prst="rect"/>
                  </pic:spPr>
                </pic:pic>
              </a:graphicData>
            </a:graphic>
          </wp:inline>
        </w:drawing>
      </w:r>
    </w:p>
    <w:p>
      <w:r>
        <w:br w:type="page"/>
      </w:r>
    </w:p>
    <w:p>
      <w:pPr>
        <w:spacing w:before="0" w:after="0"/>
        <w:jc w:val="center"/>
      </w:pPr>
      <w:r>
        <w:drawing>
          <wp:inline xmlns:a="http://schemas.openxmlformats.org/drawingml/2006/main" xmlns:pic="http://schemas.openxmlformats.org/drawingml/2006/picture">
            <wp:extent cx="5989320" cy="7750885"/>
            <wp:docPr id="2" name="Picture 2"/>
            <wp:cNvGraphicFramePr>
              <a:graphicFrameLocks noChangeAspect="1"/>
            </wp:cNvGraphicFramePr>
            <a:graphic>
              <a:graphicData uri="http://schemas.openxmlformats.org/drawingml/2006/picture">
                <pic:pic>
                  <pic:nvPicPr>
                    <pic:cNvPr id="0" name="fine-2.png"/>
                    <pic:cNvPicPr/>
                  </pic:nvPicPr>
                  <pic:blipFill>
                    <a:blip r:embed="rId13"/>
                    <a:stretch>
                      <a:fillRect/>
                    </a:stretch>
                  </pic:blipFill>
                  <pic:spPr>
                    <a:xfrm>
                      <a:off x="0" y="0"/>
                      <a:ext cx="5989320" cy="7750885"/>
                    </a:xfrm>
                    <a:prstGeom prst="rect"/>
                  </pic:spPr>
                </pic:pic>
              </a:graphicData>
            </a:graphic>
          </wp:inline>
        </w:drawing>
      </w:r>
    </w:p>
    <w:p>
      <w:r>
        <w:br w:type="page"/>
      </w:r>
    </w:p>
    <w:p>
      <w:pPr>
        <w:spacing w:before="0" w:after="0"/>
        <w:jc w:val="center"/>
      </w:pPr>
      <w:r>
        <w:drawing>
          <wp:inline xmlns:a="http://schemas.openxmlformats.org/drawingml/2006/main" xmlns:pic="http://schemas.openxmlformats.org/drawingml/2006/picture">
            <wp:extent cx="5989320" cy="7750885"/>
            <wp:docPr id="3" name="Picture 3"/>
            <wp:cNvGraphicFramePr>
              <a:graphicFrameLocks noChangeAspect="1"/>
            </wp:cNvGraphicFramePr>
            <a:graphic>
              <a:graphicData uri="http://schemas.openxmlformats.org/drawingml/2006/picture">
                <pic:pic>
                  <pic:nvPicPr>
                    <pic:cNvPr id="0" name="fine-3.png"/>
                    <pic:cNvPicPr/>
                  </pic:nvPicPr>
                  <pic:blipFill>
                    <a:blip r:embed="rId14"/>
                    <a:stretch>
                      <a:fillRect/>
                    </a:stretch>
                  </pic:blipFill>
                  <pic:spPr>
                    <a:xfrm>
                      <a:off x="0" y="0"/>
                      <a:ext cx="5989320" cy="7750885"/>
                    </a:xfrm>
                    <a:prstGeom prst="rect"/>
                  </pic:spPr>
                </pic:pic>
              </a:graphicData>
            </a:graphic>
          </wp:inline>
        </w:drawing>
      </w:r>
    </w:p>
    <w:p>
      <w:r>
        <w:br w:type="page"/>
      </w:r>
    </w:p>
    <w:p>
      <w:pPr>
        <w:spacing w:before="0" w:after="0"/>
        <w:jc w:val="center"/>
      </w:pPr>
      <w:r>
        <w:drawing>
          <wp:inline xmlns:a="http://schemas.openxmlformats.org/drawingml/2006/main" xmlns:pic="http://schemas.openxmlformats.org/drawingml/2006/picture">
            <wp:extent cx="5989320" cy="7750885"/>
            <wp:docPr id="4" name="Picture 4"/>
            <wp:cNvGraphicFramePr>
              <a:graphicFrameLocks noChangeAspect="1"/>
            </wp:cNvGraphicFramePr>
            <a:graphic>
              <a:graphicData uri="http://schemas.openxmlformats.org/drawingml/2006/picture">
                <pic:pic>
                  <pic:nvPicPr>
                    <pic:cNvPr id="0" name="fine-4.png"/>
                    <pic:cNvPicPr/>
                  </pic:nvPicPr>
                  <pic:blipFill>
                    <a:blip r:embed="rId15"/>
                    <a:stretch>
                      <a:fillRect/>
                    </a:stretch>
                  </pic:blipFill>
                  <pic:spPr>
                    <a:xfrm>
                      <a:off x="0" y="0"/>
                      <a:ext cx="5989320" cy="7750885"/>
                    </a:xfrm>
                    <a:prstGeom prst="rect"/>
                  </pic:spPr>
                </pic:pic>
              </a:graphicData>
            </a:graphic>
          </wp:inline>
        </w:drawing>
      </w:r>
    </w:p>
    <w:p>
      <w:r>
        <w:br w:type="page"/>
      </w:r>
    </w:p>
    <w:p>
      <w:pPr>
        <w:spacing w:before="0" w:after="0"/>
        <w:jc w:val="center"/>
      </w:pPr>
      <w:r>
        <w:drawing>
          <wp:inline xmlns:a="http://schemas.openxmlformats.org/drawingml/2006/main" xmlns:pic="http://schemas.openxmlformats.org/drawingml/2006/picture">
            <wp:extent cx="5989320" cy="7750885"/>
            <wp:docPr id="5" name="Picture 5"/>
            <wp:cNvGraphicFramePr>
              <a:graphicFrameLocks noChangeAspect="1"/>
            </wp:cNvGraphicFramePr>
            <a:graphic>
              <a:graphicData uri="http://schemas.openxmlformats.org/drawingml/2006/picture">
                <pic:pic>
                  <pic:nvPicPr>
                    <pic:cNvPr id="0" name="fine-5.png"/>
                    <pic:cNvPicPr/>
                  </pic:nvPicPr>
                  <pic:blipFill>
                    <a:blip r:embed="rId16"/>
                    <a:stretch>
                      <a:fillRect/>
                    </a:stretch>
                  </pic:blipFill>
                  <pic:spPr>
                    <a:xfrm>
                      <a:off x="0" y="0"/>
                      <a:ext cx="5989320" cy="7750885"/>
                    </a:xfrm>
                    <a:prstGeom prst="rect"/>
                  </pic:spPr>
                </pic:pic>
              </a:graphicData>
            </a:graphic>
          </wp:inline>
        </w:drawing>
      </w:r>
    </w:p>
    <w:p>
      <w:r>
        <w:br w:type="page"/>
      </w:r>
    </w:p>
    <w:p>
      <w:pPr>
        <w:spacing w:before="0" w:after="0"/>
        <w:jc w:val="center"/>
      </w:pPr>
      <w:r>
        <w:drawing>
          <wp:inline xmlns:a="http://schemas.openxmlformats.org/drawingml/2006/main" xmlns:pic="http://schemas.openxmlformats.org/drawingml/2006/picture">
            <wp:extent cx="5989320" cy="7750885"/>
            <wp:docPr id="6" name="Picture 6"/>
            <wp:cNvGraphicFramePr>
              <a:graphicFrameLocks noChangeAspect="1"/>
            </wp:cNvGraphicFramePr>
            <a:graphic>
              <a:graphicData uri="http://schemas.openxmlformats.org/drawingml/2006/picture">
                <pic:pic>
                  <pic:nvPicPr>
                    <pic:cNvPr id="0" name="fine-6.png"/>
                    <pic:cNvPicPr/>
                  </pic:nvPicPr>
                  <pic:blipFill>
                    <a:blip r:embed="rId17"/>
                    <a:stretch>
                      <a:fillRect/>
                    </a:stretch>
                  </pic:blipFill>
                  <pic:spPr>
                    <a:xfrm>
                      <a:off x="0" y="0"/>
                      <a:ext cx="5989320" cy="7750885"/>
                    </a:xfrm>
                    <a:prstGeom prst="rect"/>
                  </pic:spPr>
                </pic:pic>
              </a:graphicData>
            </a:graphic>
          </wp:inline>
        </w:drawing>
      </w:r>
    </w:p>
    <w:sectPr w:rsidR="00FC693F" w:rsidRPr="0006063C" w:rsidSect="00034616">
      <w:footerReference w:type="default" r:id="rId11"/>
      <w:pgSz w:w="12240" w:h="15840"/>
      <w:pgMar w:top="936"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670"/>
        <w:sz w:val="16"/>
      </w:rPr>
      <w:t xml:space="preserve">EngageBox  |  SOMOS LATAM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670"/>
        <w:sz w:val="16"/>
      </w:rPr>
      <w:t xml:space="preserve">EngageBox  |  SOMOS LATAM  |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670"/>
        <w:sz w:val="16"/>
      </w:rPr>
      <w:t xml:space="preserve">EngageBox  |  SOMOS LATAM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w:hAnsi="Apto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line="240" w:lineRule="auto"/>
    </w:pPr>
    <w:rPr>
      <w:rFonts w:ascii="Aptos" w:hAnsi="Aptos"/>
      <w:color w:val="5C667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complementaria solicitada para SOMOS LATAM</dc:title>
  <dc:subject>Preguntas 1 a 4 Activación de HCPs, cruce de audiencias, demostración y analítica</dc:subject>
  <dc:creator>EngageBox</dc:creator>
  <cp:keywords>SOMOS LATAM, Merck, HCP activation, procurement</cp:keywords>
  <dc:description>generated by python-docx</dc:description>
  <cp:lastModifiedBy/>
  <cp:revision>1</cp:revision>
  <dcterms:created xsi:type="dcterms:W3CDTF">2013-12-23T23:15:00Z</dcterms:created>
  <dcterms:modified xsi:type="dcterms:W3CDTF">2013-12-23T23:15:00Z</dcterms:modified>
  <cp:category/>
</cp:coreProperties>
</file>